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中国共产党安岳县委员会</w:t>
      </w:r>
    </w:p>
    <w:p>
      <w:pPr>
        <w:spacing w:line="59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巡察工作领导小组办公室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20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2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年单位预算编制说明</w:t>
      </w:r>
    </w:p>
    <w:p>
      <w:pPr>
        <w:spacing w:line="600" w:lineRule="exact"/>
        <w:ind w:left="0" w:leftChars="0" w:firstLine="0" w:firstLineChars="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Cs/>
          <w:szCs w:val="32"/>
          <w:lang w:val="en-US" w:eastAsia="zh-CN"/>
        </w:rPr>
        <w:t>一、基本职能及主要工作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jc w:val="left"/>
        <w:textAlignment w:val="auto"/>
        <w:rPr>
          <w:rFonts w:ascii="Times New Roman" w:hAnsi="Times New Roman" w:eastAsia="方正楷体_GBK"/>
          <w:b/>
          <w:color w:val="auto"/>
          <w:sz w:val="32"/>
          <w:szCs w:val="32"/>
        </w:rPr>
      </w:pPr>
      <w:r>
        <w:rPr>
          <w:rFonts w:ascii="Times New Roman" w:hAnsi="Times New Roman" w:eastAsia="方正楷体_GBK"/>
          <w:b/>
          <w:color w:val="auto"/>
          <w:sz w:val="32"/>
          <w:szCs w:val="32"/>
        </w:rPr>
        <w:t>（一）职能简介</w:t>
      </w:r>
    </w:p>
    <w:p>
      <w:pPr>
        <w:spacing w:line="578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中国共产党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安岳县</w:t>
      </w:r>
      <w:r>
        <w:rPr>
          <w:rFonts w:eastAsia="方正仿宋_GBK"/>
          <w:color w:val="000000"/>
          <w:sz w:val="32"/>
          <w:szCs w:val="32"/>
        </w:rPr>
        <w:t>委员会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巡察工作领导小组办公室</w:t>
      </w:r>
      <w:r>
        <w:rPr>
          <w:rFonts w:eastAsia="方正仿宋_GBK"/>
          <w:color w:val="000000"/>
          <w:sz w:val="32"/>
          <w:szCs w:val="32"/>
        </w:rPr>
        <w:t>（简称县委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巡察办</w:t>
      </w:r>
      <w:r>
        <w:rPr>
          <w:rFonts w:eastAsia="方正仿宋_GBK"/>
          <w:color w:val="000000"/>
          <w:sz w:val="32"/>
          <w:szCs w:val="32"/>
        </w:rPr>
        <w:t>），</w:t>
      </w:r>
      <w:r>
        <w:rPr>
          <w:rFonts w:hint="eastAsia" w:ascii="宋体" w:hAnsi="宋体" w:eastAsia="方正仿宋简体"/>
          <w:sz w:val="32"/>
          <w:szCs w:val="32"/>
        </w:rPr>
        <w:t>向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方正仿宋简体"/>
          <w:sz w:val="32"/>
          <w:szCs w:val="32"/>
        </w:rPr>
        <w:t>委巡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察</w:t>
      </w:r>
      <w:r>
        <w:rPr>
          <w:rFonts w:hint="eastAsia" w:ascii="宋体" w:hAnsi="宋体" w:eastAsia="方正仿宋简体"/>
          <w:sz w:val="32"/>
          <w:szCs w:val="32"/>
        </w:rPr>
        <w:t>办和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委巡察工作领导小组报告工作情况，传达贯彻中央、省委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中央</w:t>
      </w:r>
      <w:r>
        <w:rPr>
          <w:rFonts w:hint="eastAsia" w:ascii="宋体" w:hAnsi="宋体" w:eastAsia="方正仿宋简体"/>
          <w:sz w:val="32"/>
          <w:szCs w:val="32"/>
        </w:rPr>
        <w:t>巡视办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省委</w:t>
      </w:r>
      <w:r>
        <w:rPr>
          <w:rFonts w:hint="eastAsia" w:ascii="宋体" w:hAnsi="宋体" w:eastAsia="方正仿宋简体"/>
          <w:sz w:val="32"/>
          <w:szCs w:val="32"/>
        </w:rPr>
        <w:t>巡视办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市委巡察办和县委、县</w:t>
      </w:r>
      <w:r>
        <w:rPr>
          <w:rFonts w:hint="eastAsia" w:ascii="宋体" w:hAnsi="宋体" w:eastAsia="方正仿宋简体"/>
          <w:sz w:val="32"/>
          <w:szCs w:val="32"/>
        </w:rPr>
        <w:t>委巡察工作领导小组的决策和部署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/>
          <w:sz w:val="32"/>
          <w:szCs w:val="32"/>
        </w:rPr>
        <w:t>统筹、协调、指导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委巡察组开展工作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/>
          <w:sz w:val="32"/>
          <w:szCs w:val="32"/>
        </w:rPr>
        <w:t>承担有关政策研究、制度建设等工作，组织起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草县</w:t>
      </w:r>
      <w:r>
        <w:rPr>
          <w:rFonts w:hint="eastAsia" w:ascii="宋体" w:hAnsi="宋体" w:eastAsia="方正仿宋简体"/>
          <w:sz w:val="32"/>
          <w:szCs w:val="32"/>
        </w:rPr>
        <w:t>委巡察工作规划、年度计划、年度巡察工作总结、巡察综合报告等重要材料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/>
          <w:sz w:val="32"/>
          <w:szCs w:val="32"/>
        </w:rPr>
        <w:t>对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方正仿宋简体"/>
          <w:sz w:val="32"/>
          <w:szCs w:val="32"/>
        </w:rPr>
        <w:t>委巡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察</w:t>
      </w:r>
      <w:r>
        <w:rPr>
          <w:rFonts w:hint="eastAsia" w:ascii="宋体" w:hAnsi="宋体" w:eastAsia="方正仿宋简体"/>
          <w:sz w:val="32"/>
          <w:szCs w:val="32"/>
        </w:rPr>
        <w:t>办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县委</w:t>
      </w:r>
      <w:r>
        <w:rPr>
          <w:rFonts w:hint="eastAsia" w:ascii="宋体" w:hAnsi="宋体" w:eastAsia="方正仿宋简体"/>
          <w:sz w:val="32"/>
          <w:szCs w:val="32"/>
        </w:rPr>
        <w:t>巡察工作领导小组决定的有关事项进行督办配合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纪委监委机关、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委组织部及有关部门对巡察工作人员进行培训、考核、监督和管理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/>
          <w:sz w:val="32"/>
          <w:szCs w:val="32"/>
        </w:rPr>
        <w:t>负责与纪检监察机关、政法机关和组织、宣传、审计、信访等部门的沟通衔接工作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简体"/>
          <w:sz w:val="32"/>
          <w:szCs w:val="32"/>
        </w:rPr>
        <w:t>完成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委和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委巡察工作领导小组交办的其他任务。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sz w:val="32"/>
          <w:szCs w:val="32"/>
        </w:rPr>
        <w:t>巡察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组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主要职责：贯彻落实巡察工作领导小组的决定和部署，并报告工作情况；根据巡察工作计划依纪依规开展巡察工作；根据县委巡察工作领导小组的决定开展回访督查；对巡察组干部进行日常教育、管理和监督；办理县委巡察工作领导小组及其办公室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jc w:val="left"/>
        <w:textAlignment w:val="auto"/>
        <w:rPr>
          <w:rFonts w:ascii="Times New Roman" w:hAnsi="Times New Roman" w:eastAsia="方正楷体_GBK"/>
          <w:b/>
          <w:bCs/>
          <w:szCs w:val="32"/>
        </w:rPr>
      </w:pPr>
      <w:r>
        <w:rPr>
          <w:rFonts w:ascii="Times New Roman" w:hAnsi="Times New Roman" w:eastAsia="方正楷体_GBK"/>
          <w:b/>
          <w:bCs/>
          <w:szCs w:val="32"/>
        </w:rPr>
        <w:t>（二）</w:t>
      </w:r>
      <w:r>
        <w:rPr>
          <w:rFonts w:hint="eastAsia" w:ascii="Times New Roman" w:hAnsi="Times New Roman" w:eastAsia="方正楷体_GBK"/>
          <w:b/>
          <w:bCs/>
          <w:szCs w:val="32"/>
        </w:rPr>
        <w:t>202</w:t>
      </w:r>
      <w:r>
        <w:rPr>
          <w:rFonts w:hint="eastAsia" w:eastAsia="方正楷体_GBK"/>
          <w:b/>
          <w:bCs/>
          <w:szCs w:val="32"/>
          <w:lang w:val="en-US" w:eastAsia="zh-CN"/>
        </w:rPr>
        <w:t>5</w:t>
      </w:r>
      <w:r>
        <w:rPr>
          <w:rFonts w:ascii="Times New Roman" w:hAnsi="Times New Roman" w:eastAsia="方正楷体_GBK"/>
          <w:b/>
          <w:bCs/>
          <w:szCs w:val="32"/>
        </w:rPr>
        <w:t>年重点工作</w:t>
      </w:r>
    </w:p>
    <w:p>
      <w:pPr>
        <w:pStyle w:val="8"/>
        <w:spacing w:before="0" w:beforeAutospacing="0" w:after="0" w:afterAutospacing="0" w:line="580" w:lineRule="exact"/>
        <w:ind w:firstLine="640" w:firstLineChars="200"/>
        <w:rPr>
          <w:rFonts w:hint="default" w:ascii="宋体" w:hAnsi="宋体" w:eastAsia="方正仿宋_GBK" w:cs="方正仿宋_GBK"/>
          <w:bCs/>
          <w:sz w:val="32"/>
          <w:szCs w:val="32"/>
          <w:lang w:val="en-US" w:eastAsia="zh-CN" w:bidi="bo-CN"/>
        </w:rPr>
      </w:pPr>
      <w:r>
        <w:rPr>
          <w:rFonts w:hint="eastAsia" w:ascii="宋体" w:hAnsi="宋体" w:eastAsia="方正仿宋_GBK" w:cs="宋体"/>
          <w:kern w:val="2"/>
          <w:sz w:val="32"/>
          <w:szCs w:val="32"/>
          <w:lang w:val="en-US" w:eastAsia="zh-CN" w:bidi="ar-SA"/>
        </w:rPr>
        <w:t>坚持把“讲政治”要求贯穿巡察工作全过程，坚决贯彻落实上级决策部署，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加强“一把手”监督，深化村级巡察。</w:t>
      </w:r>
      <w:r>
        <w:rPr>
          <w:rFonts w:hint="eastAsia" w:ascii="宋体" w:hAnsi="宋体" w:eastAsia="方正仿宋_GBK" w:cs="方正仿宋_GBK"/>
          <w:sz w:val="32"/>
          <w:szCs w:val="32"/>
        </w:rPr>
        <w:t>开展常规巡察2轮，同时配合省委巡视、市委巡察上下联动，实现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2025年</w:t>
      </w:r>
      <w:r>
        <w:rPr>
          <w:rFonts w:hint="eastAsia" w:ascii="宋体" w:hAnsi="宋体" w:eastAsia="方正仿宋_GBK" w:cs="方正仿宋_GBK"/>
          <w:sz w:val="32"/>
          <w:szCs w:val="32"/>
        </w:rPr>
        <w:t>对乡镇（街道）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及所辖村（社区）</w:t>
      </w:r>
      <w:r>
        <w:rPr>
          <w:rFonts w:hint="eastAsia" w:ascii="宋体" w:hAnsi="宋体" w:eastAsia="方正仿宋_GBK" w:cs="方正仿宋_GBK"/>
          <w:sz w:val="32"/>
          <w:szCs w:val="32"/>
        </w:rPr>
        <w:t>党组织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巡察覆盖率达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100%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，对部门</w:t>
      </w:r>
      <w:r>
        <w:rPr>
          <w:rFonts w:hint="eastAsia" w:ascii="宋体" w:hAnsi="宋体" w:eastAsia="方正仿宋_GBK" w:cs="方正仿宋_GBK"/>
          <w:sz w:val="32"/>
          <w:szCs w:val="32"/>
        </w:rPr>
        <w:t>党组织巡察覆盖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率达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91%以上。多措并举拓宽问题来源，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深化“巡察组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+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小分队”“巡回指导组”“巡中会商研判”“巡后复盘”等做法，着力提升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问题收集全面性、方向性、准确性，不断提高发现问题精准度。发挥巡察综合监督平台作用，落实“1+N”协作机制，加强“巡纪审”“巡组”联动，提升协作联动效能。</w:t>
      </w:r>
      <w:r>
        <w:rPr>
          <w:rFonts w:hint="eastAsia" w:ascii="宋体" w:hAnsi="宋体" w:eastAsia="方正仿宋_GBK" w:cs="方正仿宋_GBK"/>
          <w:sz w:val="32"/>
          <w:szCs w:val="32"/>
        </w:rPr>
        <w:t>压实纪检监察机关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的全面监督</w:t>
      </w:r>
      <w:r>
        <w:rPr>
          <w:rFonts w:hint="eastAsia" w:ascii="宋体" w:hAnsi="宋体" w:eastAsia="方正仿宋_GBK" w:cs="方正仿宋_GBK"/>
          <w:sz w:val="32"/>
          <w:szCs w:val="32"/>
        </w:rPr>
        <w:t>和组织部门的日常监督责任，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严格落实巡察办统筹督促责任，按照“事要解决，人要处理，长效机制要建立”的要求，推动整改落地落实</w:t>
      </w:r>
      <w:r>
        <w:rPr>
          <w:rFonts w:hint="eastAsia" w:ascii="宋体" w:hAnsi="宋体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Chars="200"/>
        <w:textAlignment w:val="auto"/>
        <w:rPr>
          <w:rFonts w:hint="eastAsia" w:ascii="Times New Roman" w:hAnsi="Times New Roman" w:eastAsia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Cs/>
          <w:szCs w:val="32"/>
          <w:lang w:val="en-US" w:eastAsia="zh-CN"/>
        </w:rPr>
        <w:t>二、单位基本概况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方正楷体_GBK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color w:val="auto"/>
          <w:sz w:val="32"/>
          <w:szCs w:val="32"/>
          <w:lang w:val="en-US" w:eastAsia="zh-CN"/>
        </w:rPr>
        <w:t>（一）单位机构构成</w:t>
      </w:r>
    </w:p>
    <w:p>
      <w:pPr>
        <w:spacing w:line="578" w:lineRule="exact"/>
        <w:ind w:firstLine="636" w:firstLineChars="19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/>
          <w:sz w:val="32"/>
          <w:szCs w:val="32"/>
        </w:rPr>
        <w:t>中国共产党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安岳县</w:t>
      </w:r>
      <w:r>
        <w:rPr>
          <w:rFonts w:hint="eastAsia" w:ascii="宋体" w:hAnsi="宋体" w:eastAsia="方正仿宋简体"/>
          <w:sz w:val="32"/>
          <w:szCs w:val="32"/>
        </w:rPr>
        <w:t>委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员会</w:t>
      </w:r>
      <w:r>
        <w:rPr>
          <w:rFonts w:hint="eastAsia" w:ascii="宋体" w:hAnsi="宋体" w:eastAsia="方正仿宋简体"/>
          <w:sz w:val="32"/>
          <w:szCs w:val="32"/>
        </w:rPr>
        <w:t>巡察工作领导小组办公室作为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县委</w:t>
      </w:r>
      <w:r>
        <w:rPr>
          <w:rFonts w:hint="eastAsia" w:ascii="宋体" w:hAnsi="宋体" w:eastAsia="方正仿宋简体"/>
          <w:sz w:val="32"/>
          <w:szCs w:val="32"/>
        </w:rPr>
        <w:t>工作部门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含6个县委巡察组）</w:t>
      </w:r>
      <w:r>
        <w:rPr>
          <w:rFonts w:hint="eastAsia" w:ascii="宋体" w:hAnsi="宋体" w:eastAsia="方正仿宋简体"/>
          <w:sz w:val="32"/>
          <w:szCs w:val="32"/>
        </w:rPr>
        <w:t>设在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/>
          <w:sz w:val="32"/>
          <w:szCs w:val="32"/>
        </w:rPr>
        <w:t>纪委，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供给关系在县纪委，</w:t>
      </w:r>
      <w:r>
        <w:rPr>
          <w:rFonts w:hint="eastAsia" w:ascii="宋体" w:hAnsi="宋体" w:eastAsia="方正仿宋简体"/>
          <w:sz w:val="32"/>
          <w:szCs w:val="32"/>
        </w:rPr>
        <w:t>巡察工作专项经费作为中共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安岳县</w:t>
      </w:r>
      <w:r>
        <w:rPr>
          <w:rFonts w:hint="eastAsia" w:ascii="宋体" w:hAnsi="宋体" w:eastAsia="方正仿宋简体"/>
          <w:sz w:val="32"/>
          <w:szCs w:val="32"/>
        </w:rPr>
        <w:t>纪委下属二级预算单位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实行</w:t>
      </w:r>
      <w:r>
        <w:rPr>
          <w:rFonts w:hint="eastAsia" w:ascii="宋体" w:hAnsi="宋体" w:eastAsia="方正仿宋简体"/>
          <w:sz w:val="32"/>
          <w:szCs w:val="32"/>
        </w:rPr>
        <w:t>独立核算。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color w:val="auto"/>
          <w:sz w:val="32"/>
          <w:szCs w:val="32"/>
          <w:lang w:val="en-US" w:eastAsia="zh-CN"/>
        </w:rPr>
        <w:t>（二）单位人员构成</w:t>
      </w:r>
    </w:p>
    <w:p>
      <w:pPr>
        <w:pStyle w:val="5"/>
        <w:autoSpaceDE w:val="0"/>
        <w:spacing w:beforeLines="0" w:after="0" w:afterAutospacing="0"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年末总人数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人。其中：在职实有人数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人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其中公务员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Chars="200"/>
        <w:textAlignment w:val="auto"/>
        <w:rPr>
          <w:rFonts w:hint="eastAsia" w:ascii="Times New Roman" w:hAnsi="Times New Roman" w:eastAsia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Cs/>
          <w:szCs w:val="32"/>
          <w:lang w:val="en-US" w:eastAsia="zh-CN"/>
        </w:rPr>
        <w:t>三、收支预算情况说明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Cs w:val="32"/>
          <w:lang w:val="en-US" w:eastAsia="zh-CN"/>
        </w:rPr>
        <w:t>按照综合预算的原则，</w:t>
      </w: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所有收入和支出均纳入单位预算管理。收入包括：一般公共预算拨款收入</w:t>
      </w:r>
      <w:r>
        <w:rPr>
          <w:rFonts w:hint="eastAsia" w:eastAsia="方正仿宋_GBK"/>
          <w:szCs w:val="32"/>
          <w:lang w:val="en-US" w:eastAsia="zh-CN"/>
        </w:rPr>
        <w:t>、上年结转；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支出包括：一般公共服务支出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。</w:t>
      </w: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202</w:t>
      </w:r>
      <w:r>
        <w:rPr>
          <w:rFonts w:hint="eastAsia" w:eastAsia="方正仿宋_GBK"/>
          <w:color w:val="auto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年收支总预算</w:t>
      </w:r>
      <w:r>
        <w:rPr>
          <w:rFonts w:hint="eastAsia" w:eastAsia="方正仿宋_GBK"/>
          <w:color w:val="auto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万元，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比2024年收支预算总数增加9.96万元，主要原因：财政预算项目经费增加。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（一）收入预算情况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年收入预算</w:t>
      </w:r>
      <w:r>
        <w:rPr>
          <w:rFonts w:hint="eastAsia" w:eastAsia="方正仿宋_GBK"/>
          <w:color w:val="auto"/>
          <w:szCs w:val="32"/>
          <w:lang w:val="en-US" w:eastAsia="zh-CN"/>
        </w:rPr>
        <w:t>100</w:t>
      </w:r>
      <w:r>
        <w:rPr>
          <w:rFonts w:ascii="Times New Roman" w:hAnsi="Times New Roman" w:eastAsia="方正仿宋_GBK"/>
          <w:color w:val="auto"/>
          <w:sz w:val="32"/>
          <w:szCs w:val="32"/>
        </w:rPr>
        <w:t>万元，其中：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一般公共预算</w:t>
      </w:r>
      <w:r>
        <w:rPr>
          <w:rFonts w:ascii="Times New Roman" w:hAnsi="Times New Roman" w:eastAsia="方正仿宋_GBK"/>
          <w:color w:val="auto"/>
          <w:sz w:val="32"/>
          <w:szCs w:val="32"/>
        </w:rPr>
        <w:t>拨款收入</w:t>
      </w:r>
      <w:r>
        <w:rPr>
          <w:rFonts w:hint="eastAsia" w:eastAsia="方正仿宋_GBK"/>
          <w:color w:val="auto"/>
          <w:szCs w:val="32"/>
          <w:lang w:val="en-US" w:eastAsia="zh-CN"/>
        </w:rPr>
        <w:t>100</w:t>
      </w:r>
      <w:r>
        <w:rPr>
          <w:rFonts w:ascii="Times New Roman" w:hAnsi="Times New Roman" w:eastAsia="方正仿宋_GBK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，占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%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color w:val="auto"/>
          <w:sz w:val="32"/>
          <w:szCs w:val="32"/>
        </w:rPr>
      </w:pPr>
      <w:r>
        <w:rPr>
          <w:rFonts w:hint="eastAsia" w:ascii="Times New Roman" w:hAnsi="Times New Roman" w:eastAsia="方正楷体_GBK"/>
          <w:b/>
          <w:color w:val="auto"/>
          <w:sz w:val="32"/>
          <w:szCs w:val="32"/>
        </w:rPr>
        <w:t>（二）支出预算情况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年支出预算</w:t>
      </w:r>
      <w:r>
        <w:rPr>
          <w:rFonts w:hint="eastAsia" w:eastAsia="方正仿宋_GBK"/>
          <w:color w:val="auto"/>
          <w:szCs w:val="32"/>
          <w:lang w:val="en-US" w:eastAsia="zh-CN"/>
        </w:rPr>
        <w:t>100</w:t>
      </w:r>
      <w:r>
        <w:rPr>
          <w:rFonts w:ascii="Times New Roman" w:hAnsi="Times New Roman" w:eastAsia="方正仿宋_GBK"/>
          <w:color w:val="auto"/>
          <w:sz w:val="32"/>
          <w:szCs w:val="32"/>
        </w:rPr>
        <w:t>万元，其中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100万元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，占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Chars="200"/>
        <w:textAlignment w:val="auto"/>
        <w:rPr>
          <w:rFonts w:hint="eastAsia" w:ascii="Times New Roman" w:hAnsi="Times New Roman" w:eastAsia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Cs/>
          <w:szCs w:val="32"/>
          <w:lang w:val="en-US" w:eastAsia="zh-CN"/>
        </w:rPr>
        <w:t>四、财政拨款收支预算情况说明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/>
          <w:b/>
          <w:bCs/>
          <w:color w:val="FF0000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年财政拨款收支总预算</w:t>
      </w:r>
      <w:r>
        <w:rPr>
          <w:rFonts w:hint="eastAsia" w:eastAsia="方正仿宋_GBK"/>
          <w:color w:val="auto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万元，比202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年财政拨款收支总预算</w:t>
      </w:r>
      <w:r>
        <w:rPr>
          <w:rFonts w:hint="eastAsia" w:eastAsia="方正仿宋_GBK"/>
          <w:color w:val="auto"/>
          <w:szCs w:val="32"/>
          <w:lang w:val="en-US" w:eastAsia="zh-CN"/>
        </w:rPr>
        <w:t>增加9.96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万元，</w:t>
      </w:r>
      <w:r>
        <w:rPr>
          <w:rFonts w:hint="eastAsia" w:ascii="Times New Roman" w:hAnsi="Times New Roman" w:eastAsia="方正仿宋_GBK"/>
          <w:b w:val="0"/>
          <w:bCs w:val="0"/>
          <w:color w:val="auto"/>
          <w:szCs w:val="32"/>
          <w:lang w:val="en-US" w:eastAsia="zh-CN"/>
        </w:rPr>
        <w:t>主要原因</w:t>
      </w:r>
      <w:r>
        <w:rPr>
          <w:rFonts w:hint="eastAsia" w:eastAsia="方正仿宋_GBK"/>
          <w:b w:val="0"/>
          <w:bCs w:val="0"/>
          <w:color w:val="auto"/>
          <w:szCs w:val="32"/>
          <w:lang w:val="en-US" w:eastAsia="zh-CN"/>
        </w:rPr>
        <w:t>：</w:t>
      </w:r>
      <w:r>
        <w:rPr>
          <w:rFonts w:hint="eastAsia" w:eastAsia="方正仿宋_GBK"/>
          <w:color w:val="auto"/>
          <w:szCs w:val="32"/>
          <w:lang w:val="en-US" w:eastAsia="zh-CN"/>
        </w:rPr>
        <w:t>财政预算项目经费增加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收入包括：本年一般公共预算拨款收入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万元；支出包括：一般公共服务支出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一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般公共预算当年拨款情况说明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（一）一般公共预算当年拨款规模变化情况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</w:t>
      </w:r>
      <w:r>
        <w:rPr>
          <w:rFonts w:hint="eastAsia" w:eastAsia="方正仿宋_GBK"/>
          <w:sz w:val="32"/>
          <w:szCs w:val="32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20</w:t>
      </w: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年一般公共预算当年拨款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万元，比202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年预算数</w:t>
      </w:r>
      <w:r>
        <w:rPr>
          <w:rFonts w:hint="eastAsia" w:eastAsia="方正仿宋_GBK"/>
          <w:color w:val="auto"/>
          <w:szCs w:val="32"/>
          <w:lang w:val="en-US" w:eastAsia="zh-CN"/>
        </w:rPr>
        <w:t>增加9.96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</w:rPr>
        <w:t>主要原因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auto"/>
          <w:szCs w:val="32"/>
          <w:lang w:val="en-US" w:eastAsia="zh-CN"/>
        </w:rPr>
        <w:t>财政预算项目经费增加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方正楷体_GBK"/>
          <w:b/>
          <w:color w:val="auto"/>
          <w:sz w:val="32"/>
          <w:szCs w:val="32"/>
        </w:rPr>
        <w:t>（二）一般公共预算当年拨款结构情况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一般公共服务支出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万元，占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</w:rPr>
        <w:t>（三）一般公共预算当年拨款具体使用情况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一般公共服务（类）纪检监察事务（款）一般行政管理事务（项）：202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年预算数为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万元，主要用于202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年开展常规巡察、联动交叉巡察和巡察工作人才的示范培训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以及信息化系统建设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六、一般公共预算基本支出情况说明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委巡察办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无基本支出，人员和公用经费由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纪委保障。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七、“三公”经费财政拨款预算安排情况说明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委巡察办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202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三公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经费财政拨款预算数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万元，其中：因公出国（境）经费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万元，公务接待费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万元，公务用车购置及运行维护费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未安排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三公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经费财政拨款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（一）因公出国（境）经费</w:t>
      </w:r>
      <w:r>
        <w:rPr>
          <w:rFonts w:hint="eastAsia" w:eastAsia="方正楷体_GBK"/>
          <w:b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方正楷体_GBK"/>
          <w:b/>
          <w:sz w:val="32"/>
          <w:szCs w:val="32"/>
        </w:rPr>
        <w:t>20</w:t>
      </w:r>
      <w:r>
        <w:rPr>
          <w:rFonts w:hint="eastAsia" w:ascii="Times New Roman" w:hAnsi="Times New Roman" w:eastAsia="方正楷体_GBK"/>
          <w:b/>
          <w:sz w:val="32"/>
          <w:szCs w:val="32"/>
        </w:rPr>
        <w:t>2</w:t>
      </w:r>
      <w:r>
        <w:rPr>
          <w:rFonts w:hint="eastAsia" w:eastAsia="方正楷体_GBK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楷体_GBK"/>
          <w:b/>
          <w:sz w:val="32"/>
          <w:szCs w:val="32"/>
        </w:rPr>
        <w:t>年预算持平。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年未安排因公出国（境）经费。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（二）公务接待费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年预算持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年未安排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公务接待费，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巡视巡察、考察调研等工作的接待支出以及省、市、其他县（区）巡察机构来安岳考察调研、检查指导、交流学习等接待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费由县纪委保障。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楷体_GBK"/>
          <w:b/>
          <w:color w:val="auto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方正楷体_GBK"/>
          <w:b/>
          <w:color w:val="auto"/>
          <w:sz w:val="32"/>
          <w:szCs w:val="32"/>
          <w:highlight w:val="none"/>
        </w:rPr>
        <w:t>公务用车购置及运行维护费</w:t>
      </w:r>
      <w:r>
        <w:rPr>
          <w:rFonts w:hint="eastAsia" w:eastAsia="方正楷体_GBK"/>
          <w:b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方正楷体_GBK"/>
          <w:b/>
          <w:color w:val="auto"/>
          <w:sz w:val="32"/>
          <w:szCs w:val="32"/>
          <w:highlight w:val="none"/>
        </w:rPr>
        <w:t>202</w:t>
      </w:r>
      <w:r>
        <w:rPr>
          <w:rFonts w:hint="eastAsia" w:eastAsia="方正楷体_GBK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楷体_GBK"/>
          <w:b/>
          <w:color w:val="auto"/>
          <w:sz w:val="32"/>
          <w:szCs w:val="32"/>
          <w:highlight w:val="none"/>
        </w:rPr>
        <w:t>年预算</w:t>
      </w:r>
      <w:r>
        <w:rPr>
          <w:rFonts w:hint="eastAsia" w:eastAsia="方正楷体_GBK"/>
          <w:b/>
          <w:color w:val="auto"/>
          <w:sz w:val="32"/>
          <w:szCs w:val="32"/>
          <w:highlight w:val="none"/>
          <w:lang w:val="en-US" w:eastAsia="zh-CN"/>
        </w:rPr>
        <w:t>持平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单位现有公务用车0辆（由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纪委在执法执勤用车中机动保障巡察工作用车）。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安排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公务用车购置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运行维护费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八、政府性基金预算支出情况说明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20</w:t>
      </w: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年没有使用政府性基金预算拨款安排的支出。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九、国有资本经营预算支出情况说明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委巡察办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20</w:t>
      </w: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年没有使用国有资本经营预算拨款安排的支出。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（一）机关运行经费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委巡察办基本支出在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纪委核算。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（二）政府采购情况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202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委巡察办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没有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安排政府采购预算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（三）国有资产占有使用情况</w:t>
      </w:r>
    </w:p>
    <w:p>
      <w:pPr>
        <w:pStyle w:val="8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截至202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年底，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委巡察办共有车辆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辆，单位价值万元以上设备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台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单位价值100万元以上大型设备0台（套）。</w:t>
      </w:r>
    </w:p>
    <w:p>
      <w:pPr>
        <w:pStyle w:val="8"/>
        <w:shd w:val="clear" w:color="auto" w:fill="FFFFFF"/>
        <w:spacing w:before="0" w:beforeAutospacing="0" w:after="0" w:afterAutospacing="0" w:line="590" w:lineRule="exact"/>
        <w:ind w:firstLine="640" w:firstLineChars="200"/>
        <w:jc w:val="both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年单位预算安排购置车辆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安排购置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单位价值万元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3" w:firstLineChars="200"/>
        <w:textAlignment w:val="auto"/>
        <w:rPr>
          <w:rFonts w:hint="eastAsia" w:ascii="Times New Roman" w:hAnsi="Times New Roman" w:eastAsia="方正楷体_GBK"/>
          <w:b/>
          <w:sz w:val="32"/>
          <w:szCs w:val="32"/>
        </w:rPr>
      </w:pPr>
      <w:r>
        <w:rPr>
          <w:rFonts w:hint="eastAsia" w:ascii="Times New Roman" w:hAnsi="Times New Roman" w:eastAsia="方正楷体_GBK"/>
          <w:b/>
          <w:sz w:val="32"/>
          <w:szCs w:val="32"/>
        </w:rPr>
        <w:t>（四）绩效目标设置情况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</w:rPr>
        <w:t>绩效目标是预算编制的前提和基础，按照“费随事定”的原则，20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委巡察办</w:t>
      </w:r>
      <w:r>
        <w:rPr>
          <w:rFonts w:hint="eastAsia" w:ascii="Times New Roman" w:hAnsi="Times New Roman" w:eastAsia="方正仿宋_GBK"/>
          <w:sz w:val="32"/>
          <w:szCs w:val="32"/>
        </w:rPr>
        <w:t>所有项目支出按要求编制了绩效目标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从项目完成、项目效益、满意度等方面设置了绩效指标，综合反映项目预期完成的数量、成本、时效、质量，预期达到的社会效益、经济效益、生态效益、可持续影响以及服务对象满意度等情况。（绩效目标具体情况详见公开表中的绩效目标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Cs w:val="32"/>
          <w:lang w:val="en-US" w:eastAsia="zh-CN"/>
        </w:rPr>
        <w:t>十一、名词解释</w:t>
      </w:r>
    </w:p>
    <w:p>
      <w:pPr>
        <w:pStyle w:val="8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（一）一般公共预算拨款收入：指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级财政当年拨付的资金。</w:t>
      </w:r>
    </w:p>
    <w:p>
      <w:pPr>
        <w:pStyle w:val="8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（二）一般公共服务（类）纪检监察事务（款）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一般行政管理事务（项）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：指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县委巡察机构完成巡察工作任务产生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的支出。</w:t>
      </w:r>
    </w:p>
    <w:p>
      <w:pPr>
        <w:pStyle w:val="6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pStyle w:val="6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年单位预算公开表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cript MT Bold">
    <w:panose1 w:val="03040602040607080904"/>
    <w:charset w:val="00"/>
    <w:family w:val="script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4928C"/>
    <w:multiLevelType w:val="singleLevel"/>
    <w:tmpl w:val="8784928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2728"/>
    <w:rsid w:val="014365C7"/>
    <w:rsid w:val="01442CA0"/>
    <w:rsid w:val="03123218"/>
    <w:rsid w:val="068A3C77"/>
    <w:rsid w:val="06DE751B"/>
    <w:rsid w:val="0CA80924"/>
    <w:rsid w:val="0EEF1134"/>
    <w:rsid w:val="12E16B0B"/>
    <w:rsid w:val="185D28BB"/>
    <w:rsid w:val="19E67B09"/>
    <w:rsid w:val="1B7A22C7"/>
    <w:rsid w:val="1CA4388D"/>
    <w:rsid w:val="1F7C13B4"/>
    <w:rsid w:val="20322F5E"/>
    <w:rsid w:val="25DD5BAB"/>
    <w:rsid w:val="27952CFE"/>
    <w:rsid w:val="29C11BB0"/>
    <w:rsid w:val="2B0B32AA"/>
    <w:rsid w:val="30E97920"/>
    <w:rsid w:val="36E94025"/>
    <w:rsid w:val="461554BD"/>
    <w:rsid w:val="47015331"/>
    <w:rsid w:val="48F5643E"/>
    <w:rsid w:val="4A2538AD"/>
    <w:rsid w:val="4B1761F8"/>
    <w:rsid w:val="4E896D65"/>
    <w:rsid w:val="51727AAD"/>
    <w:rsid w:val="59B86D8A"/>
    <w:rsid w:val="5A5E507E"/>
    <w:rsid w:val="5DF15E65"/>
    <w:rsid w:val="5ED82443"/>
    <w:rsid w:val="60BA2CC9"/>
    <w:rsid w:val="6B8D0D02"/>
    <w:rsid w:val="715F2728"/>
    <w:rsid w:val="7204189B"/>
    <w:rsid w:val="7E4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408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2457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2457"/>
    <w:pPr>
      <w:spacing w:line="592" w:lineRule="exact"/>
      <w:ind w:firstLine="88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</w:style>
  <w:style w:type="paragraph" w:styleId="4">
    <w:name w:val="Normal Indent"/>
    <w:basedOn w:val="1"/>
    <w:qFormat/>
    <w:uiPriority w:val="4080"/>
    <w:pPr>
      <w:ind w:firstLine="420" w:firstLineChars="200"/>
    </w:pPr>
    <w:rPr>
      <w:rFonts w:ascii="仿宋" w:hAnsi="仿宋" w:eastAsia="仿宋" w:cs="仿宋"/>
      <w:sz w:val="24"/>
      <w:szCs w:val="24"/>
    </w:rPr>
  </w:style>
  <w:style w:type="paragraph" w:styleId="5">
    <w:name w:val="Body Text"/>
    <w:basedOn w:val="1"/>
    <w:unhideWhenUsed/>
    <w:qFormat/>
    <w:uiPriority w:val="99"/>
    <w:pPr>
      <w:spacing w:beforeLines="30" w:after="100" w:afterAutospacing="1"/>
    </w:pPr>
    <w:rPr>
      <w:rFonts w:eastAsia="宋体"/>
      <w:kern w:val="0"/>
      <w:sz w:val="24"/>
      <w:szCs w:val="24"/>
    </w:rPr>
  </w:style>
  <w:style w:type="paragraph" w:styleId="6">
    <w:name w:val="Body Text Indent 2"/>
    <w:basedOn w:val="1"/>
    <w:semiHidden/>
    <w:qFormat/>
    <w:uiPriority w:val="0"/>
    <w:pPr>
      <w:ind w:left="37" w:leftChars="-123" w:hanging="440" w:hangingChars="39"/>
    </w:pPr>
    <w:rPr>
      <w:rFonts w:ascii="Script MT Bold" w:hAnsi="Script MT Bold" w:eastAsia="黑体"/>
      <w:sz w:val="112"/>
    </w:rPr>
  </w:style>
  <w:style w:type="paragraph" w:styleId="7">
    <w:name w:val="footer"/>
    <w:basedOn w:val="1"/>
    <w:next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2023-01-30T02:45:00Z</dcterms:created>
  <dc:creator>ayxy</dc:creator>
  <cp:lastModifiedBy>ayxy</cp:lastModifiedBy>
  <cp:lastPrinted>2025-01-20T08:37:42Z</cp:lastPrinted>
  <dcterms:modified xsi:type="dcterms:W3CDTF">2025-01-20T09:03:15Z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DBE491E9559C4C78A41A34C9C2DD94C3</vt:lpwstr>
  </property>
</Properties>
</file>