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C654A0">
      <w:pPr>
        <w:pStyle w:val="2"/>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eastAsia="方正小标宋简体" w:cs="Times New Roman"/>
          <w:color w:val="auto"/>
          <w:kern w:val="2"/>
          <w:sz w:val="48"/>
          <w:szCs w:val="48"/>
          <w:highlight w:val="none"/>
          <w:lang w:val="en-US" w:eastAsia="zh-CN" w:bidi="ar-SA"/>
        </w:rPr>
      </w:pPr>
      <w:bookmarkStart w:id="0" w:name="_Toc15377426"/>
      <w:bookmarkStart w:id="1" w:name="_Toc15396598"/>
      <w:bookmarkStart w:id="2" w:name="_Toc15396476"/>
      <w:bookmarkStart w:id="3" w:name="_Toc15377194"/>
      <w:bookmarkStart w:id="4" w:name="_Toc15378442"/>
    </w:p>
    <w:p w14:paraId="47D561E6">
      <w:pPr>
        <w:pStyle w:val="2"/>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eastAsia="方正小标宋简体" w:cs="Times New Roman"/>
          <w:color w:val="auto"/>
          <w:kern w:val="2"/>
          <w:sz w:val="48"/>
          <w:szCs w:val="48"/>
          <w:highlight w:val="none"/>
          <w:lang w:val="en-US" w:eastAsia="zh-CN" w:bidi="ar-SA"/>
        </w:rPr>
      </w:pPr>
    </w:p>
    <w:p w14:paraId="409F9008">
      <w:pPr>
        <w:pStyle w:val="2"/>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eastAsia="方正小标宋简体" w:cs="Times New Roman"/>
          <w:color w:val="auto"/>
          <w:kern w:val="2"/>
          <w:sz w:val="48"/>
          <w:szCs w:val="48"/>
          <w:highlight w:val="none"/>
          <w:lang w:val="en-US" w:eastAsia="zh-CN" w:bidi="ar-SA"/>
        </w:rPr>
      </w:pPr>
    </w:p>
    <w:p w14:paraId="730B1897">
      <w:pPr>
        <w:pStyle w:val="2"/>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eastAsia="方正小标宋简体" w:cs="Times New Roman"/>
          <w:color w:val="auto"/>
          <w:kern w:val="2"/>
          <w:sz w:val="48"/>
          <w:szCs w:val="48"/>
          <w:highlight w:val="none"/>
          <w:lang w:val="en-US" w:eastAsia="zh-CN" w:bidi="ar-SA"/>
        </w:rPr>
      </w:pPr>
    </w:p>
    <w:p w14:paraId="0ED9D3F7">
      <w:pPr>
        <w:pStyle w:val="2"/>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eastAsia="方正小标宋简体" w:cs="Times New Roman"/>
          <w:color w:val="auto"/>
          <w:kern w:val="2"/>
          <w:sz w:val="48"/>
          <w:szCs w:val="48"/>
          <w:highlight w:val="none"/>
          <w:lang w:val="en-US" w:eastAsia="zh-CN" w:bidi="ar-SA"/>
        </w:rPr>
      </w:pPr>
    </w:p>
    <w:p w14:paraId="1C9F9B9C">
      <w:pPr>
        <w:pStyle w:val="2"/>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eastAsia="方正小标宋简体" w:cs="Times New Roman"/>
          <w:color w:val="auto"/>
          <w:kern w:val="2"/>
          <w:sz w:val="48"/>
          <w:szCs w:val="48"/>
          <w:highlight w:val="none"/>
          <w:lang w:val="en-US" w:eastAsia="zh-CN" w:bidi="ar-SA"/>
        </w:rPr>
      </w:pPr>
    </w:p>
    <w:p w14:paraId="4BD4DB3A">
      <w:pPr>
        <w:pStyle w:val="2"/>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eastAsia="方正小标宋简体" w:cs="Times New Roman"/>
          <w:color w:val="auto"/>
          <w:kern w:val="2"/>
          <w:sz w:val="48"/>
          <w:szCs w:val="48"/>
          <w:highlight w:val="none"/>
          <w:lang w:val="en-US" w:eastAsia="zh-CN" w:bidi="ar-SA"/>
        </w:rPr>
      </w:pPr>
    </w:p>
    <w:p w14:paraId="582FD117">
      <w:pPr>
        <w:pStyle w:val="2"/>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eastAsia="方正小标宋简体" w:cs="Times New Roman"/>
          <w:color w:val="auto"/>
          <w:kern w:val="2"/>
          <w:sz w:val="48"/>
          <w:szCs w:val="48"/>
          <w:highlight w:val="none"/>
          <w:lang w:val="en-US" w:eastAsia="zh-CN" w:bidi="ar-SA"/>
        </w:rPr>
      </w:pPr>
      <w:r>
        <w:rPr>
          <w:rFonts w:hint="eastAsia" w:ascii="宋体" w:hAnsi="宋体" w:eastAsia="方正小标宋简体" w:cs="Times New Roman"/>
          <w:color w:val="auto"/>
          <w:kern w:val="2"/>
          <w:sz w:val="48"/>
          <w:szCs w:val="48"/>
          <w:highlight w:val="none"/>
          <w:lang w:val="en-US" w:eastAsia="zh-CN" w:bidi="ar-SA"/>
        </w:rPr>
        <w:t>2024年度四川省</w:t>
      </w:r>
      <w:bookmarkStart w:id="5" w:name="_Toc15306268"/>
    </w:p>
    <w:p w14:paraId="3B6EBB53">
      <w:pPr>
        <w:pStyle w:val="2"/>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eastAsia="方正小标宋简体" w:cs="Times New Roman"/>
          <w:color w:val="auto"/>
          <w:kern w:val="2"/>
          <w:sz w:val="48"/>
          <w:szCs w:val="48"/>
          <w:highlight w:val="none"/>
          <w:lang w:val="en-US" w:eastAsia="zh-CN" w:bidi="ar-SA"/>
        </w:rPr>
      </w:pPr>
      <w:r>
        <w:rPr>
          <w:rFonts w:hint="eastAsia" w:ascii="宋体" w:hAnsi="宋体" w:eastAsia="方正小标宋简体" w:cs="Times New Roman"/>
          <w:color w:val="auto"/>
          <w:kern w:val="2"/>
          <w:sz w:val="48"/>
          <w:szCs w:val="48"/>
          <w:highlight w:val="none"/>
          <w:lang w:val="en-US" w:eastAsia="zh-CN" w:bidi="ar-SA"/>
        </w:rPr>
        <w:t>中国共产党安岳委巡察工作领导小组</w:t>
      </w:r>
    </w:p>
    <w:p w14:paraId="3DDE2AE6">
      <w:pPr>
        <w:pStyle w:val="2"/>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eastAsia="方正小标宋简体" w:cs="Times New Roman"/>
          <w:color w:val="auto"/>
          <w:kern w:val="2"/>
          <w:sz w:val="48"/>
          <w:szCs w:val="48"/>
          <w:highlight w:val="none"/>
          <w:lang w:val="en-US" w:eastAsia="zh-CN" w:bidi="ar-SA"/>
        </w:rPr>
      </w:pPr>
      <w:r>
        <w:rPr>
          <w:rFonts w:hint="eastAsia" w:ascii="宋体" w:hAnsi="宋体" w:eastAsia="方正小标宋简体" w:cs="Times New Roman"/>
          <w:color w:val="auto"/>
          <w:kern w:val="2"/>
          <w:sz w:val="48"/>
          <w:szCs w:val="48"/>
          <w:highlight w:val="none"/>
          <w:lang w:val="en-US" w:eastAsia="zh-CN" w:bidi="ar-SA"/>
        </w:rPr>
        <w:t>办公室单位决算</w:t>
      </w:r>
      <w:bookmarkEnd w:id="0"/>
      <w:bookmarkEnd w:id="1"/>
      <w:bookmarkEnd w:id="2"/>
      <w:bookmarkEnd w:id="3"/>
      <w:bookmarkEnd w:id="4"/>
      <w:bookmarkEnd w:id="5"/>
    </w:p>
    <w:p w14:paraId="18B53EBC">
      <w:pPr>
        <w:widowControl/>
        <w:jc w:val="center"/>
        <w:rPr>
          <w:rFonts w:ascii="Times New Roman" w:hAnsi="Times New Roman" w:eastAsia="黑体"/>
          <w:color w:val="auto"/>
          <w:sz w:val="48"/>
          <w:szCs w:val="48"/>
          <w:highlight w:val="none"/>
        </w:rPr>
      </w:pPr>
      <w:r>
        <w:rPr>
          <w:rFonts w:ascii="Times New Roman" w:hAnsi="Times New Roman" w:eastAsia="方正小标宋简体"/>
          <w:color w:val="auto"/>
          <w:sz w:val="36"/>
          <w:szCs w:val="36"/>
          <w:highlight w:val="none"/>
        </w:rPr>
        <w:br w:type="page"/>
      </w:r>
      <w:r>
        <w:rPr>
          <w:rFonts w:hint="eastAsia" w:ascii="Times New Roman" w:hAnsi="Times New Roman" w:eastAsia="黑体"/>
          <w:color w:val="auto"/>
          <w:sz w:val="48"/>
          <w:szCs w:val="48"/>
          <w:highlight w:val="none"/>
        </w:rPr>
        <w:t>目录</w:t>
      </w:r>
    </w:p>
    <w:p w14:paraId="12B325C1">
      <w:pPr>
        <w:widowControl/>
        <w:jc w:val="center"/>
        <w:rPr>
          <w:rFonts w:ascii="Times New Roman" w:hAnsi="Times New Roman" w:eastAsia="黑体" w:cstheme="minorBidi"/>
          <w:color w:val="auto"/>
          <w:sz w:val="28"/>
          <w:szCs w:val="28"/>
          <w:highlight w:val="none"/>
        </w:rPr>
      </w:pPr>
    </w:p>
    <w:p w14:paraId="7207BD0E">
      <w:pPr>
        <w:pStyle w:val="1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10</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15</w:t>
      </w:r>
      <w:r>
        <w:rPr>
          <w:rFonts w:hint="eastAsia" w:ascii="Times New Roman" w:hAnsi="Times New Roman" w:eastAsia="仿宋_GB2312" w:cs="仿宋_GB2312"/>
          <w:color w:val="auto"/>
          <w:sz w:val="32"/>
          <w:szCs w:val="32"/>
          <w:highlight w:val="none"/>
        </w:rPr>
        <w:t>日</w:t>
      </w:r>
    </w:p>
    <w:p w14:paraId="2873F016">
      <w:pPr>
        <w:rPr>
          <w:rFonts w:ascii="Times New Roman" w:hAnsi="Times New Roman"/>
          <w:color w:val="auto"/>
          <w:highlight w:val="none"/>
        </w:rPr>
      </w:pPr>
    </w:p>
    <w:p w14:paraId="60E17D11">
      <w:pPr>
        <w:pStyle w:val="13"/>
        <w:tabs>
          <w:tab w:val="right" w:leader="dot" w:pos="8306"/>
          <w:tab w:val="clear" w:pos="8296"/>
        </w:tabs>
      </w:pPr>
      <w:bookmarkStart w:id="6" w:name="_Toc15377196"/>
      <w:bookmarkStart w:id="7" w:name="_Toc15396599"/>
      <w:r>
        <w:fldChar w:fldCharType="begin"/>
      </w:r>
      <w:r>
        <w:instrText xml:space="preserve">TOC \o "1-2" \h \u </w:instrText>
      </w:r>
      <w:r>
        <w:fldChar w:fldCharType="separate"/>
      </w: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HYPERLINK \l _Toc6783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rPr>
        <w:t>第一部分</w:t>
      </w:r>
      <w:r>
        <w:rPr>
          <w:rFonts w:hint="eastAsia" w:ascii="宋体" w:hAnsi="宋体" w:eastAsia="方正黑体简体" w:cs="方正黑体简体"/>
          <w:b/>
          <w:sz w:val="30"/>
          <w:szCs w:val="30"/>
          <w:lang w:val="en-US" w:eastAsia="zh-CN"/>
        </w:rPr>
        <w:t xml:space="preserve"> </w:t>
      </w:r>
      <w:r>
        <w:rPr>
          <w:rFonts w:hint="eastAsia" w:ascii="宋体" w:hAnsi="宋体" w:eastAsia="方正黑体简体" w:cs="方正黑体简体"/>
          <w:b/>
          <w:sz w:val="30"/>
          <w:szCs w:val="30"/>
        </w:rPr>
        <w:t xml:space="preserve"> </w:t>
      </w:r>
      <w:r>
        <w:rPr>
          <w:rFonts w:hint="eastAsia" w:ascii="宋体" w:hAnsi="宋体" w:eastAsia="方正黑体简体" w:cs="方正黑体简体"/>
          <w:b/>
          <w:sz w:val="30"/>
          <w:szCs w:val="30"/>
          <w:lang w:eastAsia="zh-CN"/>
        </w:rPr>
        <w:t>单位</w:t>
      </w:r>
      <w:r>
        <w:rPr>
          <w:rFonts w:hint="eastAsia" w:ascii="宋体" w:hAnsi="宋体" w:eastAsia="方正黑体简体" w:cs="方正黑体简体"/>
          <w:b/>
          <w:sz w:val="30"/>
          <w:szCs w:val="30"/>
        </w:rPr>
        <w:t>概况</w:t>
      </w:r>
      <w:r>
        <w:rPr>
          <w:rFonts w:hint="eastAsia" w:ascii="宋体" w:hAnsi="宋体" w:eastAsia="方正黑体简体" w:cs="方正黑体简体"/>
          <w:b/>
          <w:sz w:val="30"/>
          <w:szCs w:val="30"/>
        </w:rPr>
        <w:tab/>
      </w: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PAGEREF _Toc6783 \h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rPr>
        <w:t>1</w:t>
      </w:r>
      <w:r>
        <w:rPr>
          <w:rFonts w:hint="eastAsia" w:ascii="宋体" w:hAnsi="宋体" w:eastAsia="方正黑体简体" w:cs="方正黑体简体"/>
          <w:b/>
          <w:sz w:val="30"/>
          <w:szCs w:val="30"/>
        </w:rPr>
        <w:fldChar w:fldCharType="end"/>
      </w:r>
      <w:r>
        <w:rPr>
          <w:rFonts w:hint="eastAsia" w:ascii="宋体" w:hAnsi="宋体" w:eastAsia="方正黑体简体" w:cs="方正黑体简体"/>
          <w:b/>
          <w:sz w:val="30"/>
          <w:szCs w:val="30"/>
        </w:rPr>
        <w:fldChar w:fldCharType="end"/>
      </w:r>
    </w:p>
    <w:p w14:paraId="111C2297">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_Toc26041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一、职能职责</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_Toc26041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5077F68C">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_Toc1014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二、机构设置</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_Toc1014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56F3975D">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textAlignment w:val="auto"/>
        <w:rPr>
          <w:rFonts w:hint="eastAsia" w:ascii="宋体" w:hAnsi="宋体" w:eastAsia="方正黑体简体" w:cs="方正黑体简体"/>
          <w:b/>
          <w:sz w:val="30"/>
          <w:szCs w:val="30"/>
        </w:rPr>
      </w:pP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HYPERLINK \l _Toc15534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rPr>
        <w:t>第二部分</w:t>
      </w:r>
      <w:r>
        <w:rPr>
          <w:rFonts w:hint="eastAsia" w:ascii="宋体" w:hAnsi="宋体" w:eastAsia="方正黑体简体" w:cs="方正黑体简体"/>
          <w:b/>
          <w:sz w:val="30"/>
          <w:szCs w:val="30"/>
          <w:lang w:val="en-US" w:eastAsia="zh-CN"/>
        </w:rPr>
        <w:t xml:space="preserve"> </w:t>
      </w:r>
      <w:r>
        <w:rPr>
          <w:rFonts w:hint="eastAsia" w:ascii="宋体" w:hAnsi="宋体" w:eastAsia="方正黑体简体" w:cs="方正黑体简体"/>
          <w:b/>
          <w:sz w:val="30"/>
          <w:szCs w:val="30"/>
        </w:rPr>
        <w:t xml:space="preserve"> </w:t>
      </w:r>
      <w:r>
        <w:rPr>
          <w:rFonts w:hint="eastAsia" w:ascii="宋体" w:hAnsi="宋体" w:eastAsia="方正黑体简体" w:cs="方正黑体简体"/>
          <w:b/>
          <w:sz w:val="30"/>
          <w:szCs w:val="30"/>
          <w:lang w:val="en-US" w:eastAsia="zh-CN"/>
        </w:rPr>
        <w:t>2024年度单位</w:t>
      </w:r>
      <w:r>
        <w:rPr>
          <w:rFonts w:hint="eastAsia" w:ascii="宋体" w:hAnsi="宋体" w:eastAsia="方正黑体简体" w:cs="方正黑体简体"/>
          <w:b/>
          <w:sz w:val="30"/>
          <w:szCs w:val="30"/>
        </w:rPr>
        <w:t>决算情况说明</w:t>
      </w:r>
      <w:r>
        <w:rPr>
          <w:rFonts w:hint="eastAsia" w:ascii="宋体" w:hAnsi="宋体" w:eastAsia="方正黑体简体" w:cs="方正黑体简体"/>
          <w:b/>
          <w:sz w:val="30"/>
          <w:szCs w:val="30"/>
        </w:rPr>
        <w:tab/>
      </w: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PAGEREF _Toc15534 \h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rPr>
        <w:t>3</w:t>
      </w:r>
      <w:r>
        <w:rPr>
          <w:rFonts w:hint="eastAsia" w:ascii="宋体" w:hAnsi="宋体" w:eastAsia="方正黑体简体" w:cs="方正黑体简体"/>
          <w:b/>
          <w:sz w:val="30"/>
          <w:szCs w:val="30"/>
        </w:rPr>
        <w:fldChar w:fldCharType="end"/>
      </w:r>
      <w:r>
        <w:rPr>
          <w:rFonts w:hint="eastAsia" w:ascii="宋体" w:hAnsi="宋体" w:eastAsia="方正黑体简体" w:cs="方正黑体简体"/>
          <w:b/>
          <w:sz w:val="30"/>
          <w:szCs w:val="30"/>
        </w:rPr>
        <w:fldChar w:fldCharType="end"/>
      </w:r>
    </w:p>
    <w:p w14:paraId="6931F3C5">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_Toc24234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一、收入支出决算总体情况说明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_Toc24234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4A465831">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_Toc16637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二、收入决算情况说明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_Toc16637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2789CF99">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_Toc31522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三、支出决算情况说明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_Toc31522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16FB1DF9">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_Toc15239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四、财政拨款收入支出决算总体情况说明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_Toc15239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22F231DA">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_Toc14158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五、一般公共预算财政拨款支出决算情况说明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_Toc14158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5</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2C50D8E5">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_Toc12488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六、一般公共预算财政拨款基本支出决算情况说明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_Toc12488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7</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68C92B3A">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_Toc21210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七、财政拨款“三公”经费支出决算情况说明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_Toc21210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7</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52358B8E">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_Toc601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八、政府性基金预算支出决算情况说明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_Toc601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8</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61290A1D">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_Toc12078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九、国有资本经营预算支出决算情况说明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_Toc12078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8</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4F982EE0">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_Toc16740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十、其他重要事项的情况说明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_Toc16740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8</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059187AA">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textAlignment w:val="auto"/>
        <w:rPr>
          <w:rFonts w:hint="eastAsia" w:ascii="宋体" w:hAnsi="宋体" w:eastAsia="方正黑体简体" w:cs="方正黑体简体"/>
          <w:b/>
          <w:sz w:val="30"/>
          <w:szCs w:val="30"/>
        </w:rPr>
      </w:pP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HYPERLINK \l _Toc8334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rPr>
        <w:t>第</w:t>
      </w:r>
      <w:r>
        <w:rPr>
          <w:rFonts w:hint="eastAsia" w:ascii="宋体" w:hAnsi="宋体" w:eastAsia="方正黑体简体" w:cs="方正黑体简体"/>
          <w:b/>
          <w:sz w:val="30"/>
          <w:szCs w:val="30"/>
          <w:lang w:eastAsia="zh-CN"/>
        </w:rPr>
        <w:t>三</w:t>
      </w:r>
      <w:r>
        <w:rPr>
          <w:rFonts w:hint="eastAsia" w:ascii="宋体" w:hAnsi="宋体" w:eastAsia="方正黑体简体" w:cs="方正黑体简体"/>
          <w:b/>
          <w:sz w:val="30"/>
          <w:szCs w:val="30"/>
        </w:rPr>
        <w:t>部分</w:t>
      </w:r>
      <w:r>
        <w:rPr>
          <w:rFonts w:hint="eastAsia" w:ascii="宋体" w:hAnsi="宋体" w:eastAsia="方正黑体简体" w:cs="方正黑体简体"/>
          <w:b/>
          <w:sz w:val="30"/>
          <w:szCs w:val="30"/>
          <w:lang w:val="en-US" w:eastAsia="zh-CN"/>
        </w:rPr>
        <w:t xml:space="preserve">  </w:t>
      </w:r>
      <w:r>
        <w:rPr>
          <w:rFonts w:hint="eastAsia" w:ascii="宋体" w:hAnsi="宋体" w:eastAsia="方正黑体简体" w:cs="方正黑体简体"/>
          <w:b/>
          <w:sz w:val="30"/>
          <w:szCs w:val="30"/>
        </w:rPr>
        <w:t>名词解释</w:t>
      </w:r>
      <w:r>
        <w:rPr>
          <w:rFonts w:hint="eastAsia" w:ascii="宋体" w:hAnsi="宋体" w:eastAsia="方正黑体简体" w:cs="方正黑体简体"/>
          <w:b/>
          <w:sz w:val="30"/>
          <w:szCs w:val="30"/>
        </w:rPr>
        <w:tab/>
      </w: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PAGEREF _Toc8334 \h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rPr>
        <w:t>10</w:t>
      </w:r>
      <w:r>
        <w:rPr>
          <w:rFonts w:hint="eastAsia" w:ascii="宋体" w:hAnsi="宋体" w:eastAsia="方正黑体简体" w:cs="方正黑体简体"/>
          <w:b/>
          <w:sz w:val="30"/>
          <w:szCs w:val="30"/>
        </w:rPr>
        <w:fldChar w:fldCharType="end"/>
      </w:r>
      <w:r>
        <w:rPr>
          <w:rFonts w:hint="eastAsia" w:ascii="宋体" w:hAnsi="宋体" w:eastAsia="方正黑体简体" w:cs="方正黑体简体"/>
          <w:b/>
          <w:sz w:val="30"/>
          <w:szCs w:val="30"/>
        </w:rPr>
        <w:fldChar w:fldCharType="end"/>
      </w:r>
    </w:p>
    <w:p w14:paraId="0012BB45">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textAlignment w:val="auto"/>
        <w:rPr>
          <w:rFonts w:hint="eastAsia" w:ascii="宋体" w:hAnsi="宋体" w:eastAsia="方正黑体简体" w:cs="方正黑体简体"/>
          <w:b/>
          <w:sz w:val="30"/>
          <w:szCs w:val="30"/>
        </w:rPr>
      </w:pP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HYPERLINK \l _Toc25057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rPr>
        <w:t>第四部分</w:t>
      </w:r>
      <w:r>
        <w:rPr>
          <w:rFonts w:hint="eastAsia" w:ascii="宋体" w:hAnsi="宋体" w:eastAsia="方正黑体简体" w:cs="方正黑体简体"/>
          <w:b/>
          <w:sz w:val="30"/>
          <w:szCs w:val="30"/>
          <w:lang w:val="en-US" w:eastAsia="zh-CN"/>
        </w:rPr>
        <w:t xml:space="preserve"> </w:t>
      </w:r>
      <w:r>
        <w:rPr>
          <w:rFonts w:hint="eastAsia" w:ascii="宋体" w:hAnsi="宋体" w:eastAsia="方正黑体简体" w:cs="方正黑体简体"/>
          <w:b/>
          <w:sz w:val="30"/>
          <w:szCs w:val="30"/>
        </w:rPr>
        <w:t xml:space="preserve"> 附件</w:t>
      </w:r>
      <w:r>
        <w:rPr>
          <w:rFonts w:hint="eastAsia" w:ascii="宋体" w:hAnsi="宋体" w:eastAsia="方正黑体简体" w:cs="方正黑体简体"/>
          <w:b/>
          <w:sz w:val="30"/>
          <w:szCs w:val="30"/>
        </w:rPr>
        <w:tab/>
      </w: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PAGEREF _Toc25057 \h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rPr>
        <w:t>12</w:t>
      </w:r>
      <w:r>
        <w:rPr>
          <w:rFonts w:hint="eastAsia" w:ascii="宋体" w:hAnsi="宋体" w:eastAsia="方正黑体简体" w:cs="方正黑体简体"/>
          <w:b/>
          <w:sz w:val="30"/>
          <w:szCs w:val="30"/>
        </w:rPr>
        <w:fldChar w:fldCharType="end"/>
      </w:r>
      <w:r>
        <w:rPr>
          <w:rFonts w:hint="eastAsia" w:ascii="宋体" w:hAnsi="宋体" w:eastAsia="方正黑体简体" w:cs="方正黑体简体"/>
          <w:b/>
          <w:sz w:val="30"/>
          <w:szCs w:val="30"/>
        </w:rPr>
        <w:fldChar w:fldCharType="end"/>
      </w:r>
    </w:p>
    <w:p w14:paraId="09E52D0C">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textAlignment w:val="auto"/>
        <w:rPr>
          <w:rFonts w:hint="eastAsia" w:ascii="宋体" w:hAnsi="宋体" w:eastAsia="方正黑体简体" w:cs="方正黑体简体"/>
          <w:b/>
          <w:sz w:val="30"/>
          <w:szCs w:val="30"/>
        </w:rPr>
      </w:pP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HYPERLINK \l _Toc24804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rPr>
        <w:t>第五部分 附表</w:t>
      </w:r>
      <w:r>
        <w:rPr>
          <w:rFonts w:hint="eastAsia" w:ascii="宋体" w:hAnsi="宋体" w:eastAsia="方正黑体简体" w:cs="方正黑体简体"/>
          <w:b/>
          <w:sz w:val="30"/>
          <w:szCs w:val="30"/>
        </w:rPr>
        <w:tab/>
      </w: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PAGEREF _Toc24804 \h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rPr>
        <w:t>14</w:t>
      </w:r>
      <w:r>
        <w:rPr>
          <w:rFonts w:hint="eastAsia" w:ascii="宋体" w:hAnsi="宋体" w:eastAsia="方正黑体简体" w:cs="方正黑体简体"/>
          <w:b/>
          <w:sz w:val="30"/>
          <w:szCs w:val="30"/>
        </w:rPr>
        <w:fldChar w:fldCharType="end"/>
      </w:r>
      <w:r>
        <w:rPr>
          <w:rFonts w:hint="eastAsia" w:ascii="宋体" w:hAnsi="宋体" w:eastAsia="方正黑体简体" w:cs="方正黑体简体"/>
          <w:b/>
          <w:sz w:val="30"/>
          <w:szCs w:val="30"/>
        </w:rPr>
        <w:fldChar w:fldCharType="end"/>
      </w:r>
    </w:p>
    <w:p w14:paraId="514C9BC0">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_Toc15510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一、收入支出决算总表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_Toc15510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6799592D">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_Toc31297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二、收入决算表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_Toc31297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06E4ADC1">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_Toc32298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三、支出决算表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_Toc32298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34EBAC30">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_Toc28194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四、财政拨款收入支出决算总表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_Toc28194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6B8FF863">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_Toc21457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五、财政拨款支出决算明细表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_Toc21457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0B9D33E9">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_Toc18411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六、一般公共预算财政拨款支出决算表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_Toc18411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32AA02B2">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_Toc27228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七、一般公共预算财政拨款支出决算明细表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_Toc27228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4669D761">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_Toc31806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八、一般公共预算财政拨款基本支出决算表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_Toc31806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1240D798">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_Toc15018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九、一般公共预算财政拨款项目支出决算表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_Toc15018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5D135812">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_Toc17436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十、政府性基金预算财政拨款收入支出决算表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_Toc17436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26C62CBC">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_Toc14036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十一、国有资本经营预算财政拨款收入支出决算表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_Toc14036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36CF01AE">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_Toc23022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十二、国有资本经营预算财政拨款支出决算表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_Toc23022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6C08FD63">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_Toc17804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十三、财政拨款“三公”经费支出决算表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_Toc17804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38856B5F">
      <w:r>
        <w:fldChar w:fldCharType="end"/>
      </w:r>
    </w:p>
    <w:p w14:paraId="35493CBA">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Times New Roman" w:hAnsi="Times New Roman" w:eastAsia="仿宋_GB2312" w:cs="仿宋_GB2312"/>
          <w:bCs/>
          <w:color w:val="auto"/>
          <w:kern w:val="44"/>
          <w:sz w:val="32"/>
          <w:szCs w:val="32"/>
          <w:highlight w:val="none"/>
        </w:rPr>
      </w:pPr>
      <w:r>
        <w:rPr>
          <w:rFonts w:hint="eastAsia" w:ascii="Times New Roman" w:hAnsi="Times New Roman" w:eastAsia="仿宋_GB2312" w:cs="仿宋_GB2312"/>
          <w:b/>
          <w:color w:val="auto"/>
          <w:sz w:val="32"/>
          <w:szCs w:val="32"/>
          <w:highlight w:val="none"/>
        </w:rPr>
        <w:br w:type="page"/>
      </w:r>
    </w:p>
    <w:p w14:paraId="08BD4B08">
      <w:pPr>
        <w:pStyle w:val="3"/>
        <w:jc w:val="center"/>
        <w:rPr>
          <w:rFonts w:hint="eastAsia" w:ascii="Times New Roman" w:hAnsi="Times New Roman" w:eastAsia="方正小标宋简体" w:cs="方正小标宋简体"/>
          <w:b w:val="0"/>
          <w:color w:val="auto"/>
          <w:highlight w:val="none"/>
        </w:rPr>
        <w:sectPr>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p>
    <w:p w14:paraId="70173544">
      <w:pPr>
        <w:pStyle w:val="3"/>
        <w:keepNext/>
        <w:keepLines/>
        <w:pageBreakBefore w:val="0"/>
        <w:widowControl w:val="0"/>
        <w:numPr>
          <w:ilvl w:val="0"/>
          <w:numId w:val="0"/>
        </w:numPr>
        <w:kinsoku/>
        <w:wordWrap/>
        <w:overflowPunct/>
        <w:topLinePunct w:val="0"/>
        <w:autoSpaceDE/>
        <w:autoSpaceDN/>
        <w:bidi w:val="0"/>
        <w:adjustRightInd/>
        <w:snapToGrid/>
        <w:spacing w:before="0" w:after="0" w:line="660" w:lineRule="exact"/>
        <w:jc w:val="center"/>
        <w:textAlignment w:val="auto"/>
        <w:rPr>
          <w:rFonts w:hint="eastAsia"/>
        </w:rPr>
      </w:pPr>
      <w:bookmarkStart w:id="8" w:name="_Toc6783"/>
      <w:r>
        <w:rPr>
          <w:rFonts w:hint="eastAsia" w:ascii="Times New Roman" w:hAnsi="Times New Roman" w:eastAsia="方正小标宋简体" w:cs="方正小标宋简体"/>
          <w:b w:val="0"/>
          <w:bCs w:val="0"/>
          <w:color w:val="auto"/>
          <w:kern w:val="44"/>
          <w:sz w:val="44"/>
          <w:szCs w:val="44"/>
          <w:lang w:val="en-US" w:eastAsia="zh-CN" w:bidi="ar-SA"/>
        </w:rPr>
        <w:t>第一部分</w:t>
      </w:r>
      <w:r>
        <w:rPr>
          <w:rFonts w:hint="eastAsia" w:eastAsia="方正小标宋简体" w:cs="方正小标宋简体"/>
          <w:b w:val="0"/>
          <w:bCs w:val="0"/>
          <w:color w:val="auto"/>
          <w:kern w:val="44"/>
          <w:sz w:val="44"/>
          <w:szCs w:val="44"/>
          <w:lang w:val="en-US" w:eastAsia="zh-CN" w:bidi="ar-SA"/>
        </w:rPr>
        <w:t xml:space="preserve"> </w:t>
      </w:r>
      <w:r>
        <w:rPr>
          <w:rFonts w:hint="eastAsia" w:eastAsia="方正小标宋简体" w:cs="方正小标宋简体"/>
          <w:b w:val="0"/>
          <w:color w:val="auto"/>
          <w:highlight w:val="none"/>
          <w:lang w:eastAsia="zh-CN"/>
        </w:rPr>
        <w:t>单位</w:t>
      </w:r>
      <w:r>
        <w:rPr>
          <w:rStyle w:val="29"/>
          <w:rFonts w:hint="eastAsia" w:ascii="Times New Roman" w:hAnsi="Times New Roman" w:eastAsia="方正小标宋简体" w:cs="方正小标宋简体"/>
          <w:b w:val="0"/>
          <w:bCs w:val="0"/>
          <w:color w:val="auto"/>
          <w:highlight w:val="none"/>
        </w:rPr>
        <w:t>概况</w:t>
      </w:r>
      <w:bookmarkEnd w:id="6"/>
      <w:bookmarkEnd w:id="7"/>
      <w:bookmarkEnd w:id="8"/>
    </w:p>
    <w:p w14:paraId="42B8969D">
      <w:pPr>
        <w:pStyle w:val="3"/>
        <w:keepNext/>
        <w:keepLines/>
        <w:pageBreakBefore w:val="0"/>
        <w:widowControl w:val="0"/>
        <w:numPr>
          <w:ilvl w:val="0"/>
          <w:numId w:val="0"/>
        </w:numPr>
        <w:kinsoku/>
        <w:wordWrap/>
        <w:overflowPunct/>
        <w:topLinePunct w:val="0"/>
        <w:autoSpaceDE/>
        <w:autoSpaceDN/>
        <w:bidi w:val="0"/>
        <w:adjustRightInd/>
        <w:snapToGrid/>
        <w:spacing w:before="0" w:after="0" w:line="660" w:lineRule="exact"/>
        <w:jc w:val="center"/>
        <w:textAlignment w:val="auto"/>
        <w:rPr>
          <w:rFonts w:hint="eastAsia" w:ascii="Times New Roman" w:hAnsi="Times New Roman" w:eastAsia="方正小标宋简体" w:cs="方正小标宋简体"/>
          <w:b w:val="0"/>
          <w:bCs w:val="0"/>
          <w:color w:val="auto"/>
          <w:kern w:val="44"/>
          <w:sz w:val="44"/>
          <w:szCs w:val="44"/>
          <w:lang w:val="en-US" w:eastAsia="zh-CN" w:bidi="ar-SA"/>
        </w:rPr>
      </w:pPr>
    </w:p>
    <w:p w14:paraId="2FE3342D">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highlight w:val="none"/>
          <w:lang w:val="en-US" w:eastAsia="zh-CN" w:bidi="ar-SA"/>
        </w:rPr>
      </w:pPr>
      <w:bookmarkStart w:id="9" w:name="_Toc26041"/>
      <w:r>
        <w:rPr>
          <w:rFonts w:hint="eastAsia" w:ascii="宋体" w:hAnsi="宋体" w:eastAsia="方正黑体简体" w:cs="方正黑体简体"/>
          <w:b w:val="0"/>
          <w:bCs/>
          <w:color w:val="auto"/>
          <w:kern w:val="2"/>
          <w:sz w:val="32"/>
          <w:szCs w:val="32"/>
          <w:lang w:val="en-US" w:eastAsia="zh-CN" w:bidi="ar-SA"/>
        </w:rPr>
        <w:t>一、</w:t>
      </w:r>
      <w:r>
        <w:rPr>
          <w:rFonts w:hint="eastAsia" w:ascii="宋体" w:hAnsi="宋体" w:eastAsia="方正黑体简体" w:cs="方正黑体简体"/>
          <w:b w:val="0"/>
          <w:bCs/>
          <w:color w:val="auto"/>
          <w:kern w:val="2"/>
          <w:sz w:val="32"/>
          <w:szCs w:val="32"/>
          <w:highlight w:val="none"/>
          <w:lang w:val="en-US" w:eastAsia="zh-CN" w:bidi="ar-SA"/>
        </w:rPr>
        <w:t>职能职责</w:t>
      </w:r>
      <w:bookmarkEnd w:id="9"/>
    </w:p>
    <w:p w14:paraId="5369E9EA">
      <w:pPr>
        <w:pageBreakBefore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宋体" w:hAnsi="宋体" w:eastAsia="方正仿宋简体" w:cs="方正仿宋_GBK"/>
          <w:sz w:val="32"/>
          <w:szCs w:val="32"/>
        </w:rPr>
      </w:pPr>
      <w:r>
        <w:rPr>
          <w:rFonts w:hint="eastAsia" w:ascii="宋体" w:hAnsi="宋体" w:eastAsia="方正仿宋简体" w:cs="方正仿宋_GBK"/>
          <w:sz w:val="32"/>
          <w:szCs w:val="32"/>
          <w:lang w:eastAsia="zh-CN"/>
        </w:rPr>
        <w:t>（</w:t>
      </w:r>
      <w:r>
        <w:rPr>
          <w:rFonts w:hint="eastAsia" w:ascii="宋体" w:hAnsi="宋体" w:eastAsia="方正仿宋简体" w:cs="方正仿宋_GBK"/>
          <w:sz w:val="32"/>
          <w:szCs w:val="32"/>
          <w:lang w:val="en-US" w:eastAsia="zh-CN"/>
        </w:rPr>
        <w:t>一）</w:t>
      </w:r>
      <w:r>
        <w:rPr>
          <w:rFonts w:hint="eastAsia" w:ascii="宋体" w:hAnsi="宋体" w:eastAsia="方正仿宋简体" w:cs="方正仿宋_GBK"/>
          <w:sz w:val="32"/>
          <w:szCs w:val="32"/>
        </w:rPr>
        <w:t>向市委巡察办和县委巡察工作领导小组报告工作情况，传达贯彻中央、省委、中央巡视办、省委巡视办、市委巡察办和县委、县委巡察工作领导小组的决策和部署。</w:t>
      </w:r>
    </w:p>
    <w:p w14:paraId="206C8D4F">
      <w:pPr>
        <w:pageBreakBefore w:val="0"/>
        <w:kinsoku/>
        <w:wordWrap/>
        <w:overflowPunct/>
        <w:topLinePunct w:val="0"/>
        <w:autoSpaceDE/>
        <w:autoSpaceDN/>
        <w:bidi w:val="0"/>
        <w:adjustRightInd/>
        <w:snapToGrid/>
        <w:spacing w:line="580" w:lineRule="exact"/>
        <w:ind w:firstLine="640" w:firstLineChars="200"/>
        <w:jc w:val="both"/>
        <w:textAlignment w:val="auto"/>
        <w:rPr>
          <w:rFonts w:hint="eastAsia" w:ascii="宋体" w:hAnsi="宋体" w:eastAsia="方正仿宋简体" w:cs="方正仿宋_GBK"/>
          <w:sz w:val="32"/>
          <w:szCs w:val="32"/>
        </w:rPr>
      </w:pPr>
      <w:r>
        <w:rPr>
          <w:rFonts w:hint="eastAsia" w:ascii="宋体" w:hAnsi="宋体" w:eastAsia="方正仿宋简体" w:cs="方正仿宋_GBK"/>
          <w:sz w:val="32"/>
          <w:szCs w:val="32"/>
          <w:lang w:eastAsia="zh-CN"/>
        </w:rPr>
        <w:t>（</w:t>
      </w:r>
      <w:r>
        <w:rPr>
          <w:rFonts w:hint="eastAsia" w:ascii="宋体" w:hAnsi="宋体" w:eastAsia="方正仿宋简体" w:cs="方正仿宋_GBK"/>
          <w:sz w:val="32"/>
          <w:szCs w:val="32"/>
          <w:lang w:val="en-US" w:eastAsia="zh-CN"/>
        </w:rPr>
        <w:t>二）</w:t>
      </w:r>
      <w:r>
        <w:rPr>
          <w:rFonts w:hint="eastAsia" w:ascii="宋体" w:hAnsi="宋体" w:eastAsia="方正仿宋简体" w:cs="方正仿宋_GBK"/>
          <w:sz w:val="32"/>
          <w:szCs w:val="32"/>
        </w:rPr>
        <w:t>统筹、协调、指导县委巡察组开展工作。</w:t>
      </w:r>
    </w:p>
    <w:p w14:paraId="6DBD6083">
      <w:pPr>
        <w:pageBreakBefore w:val="0"/>
        <w:kinsoku/>
        <w:wordWrap/>
        <w:overflowPunct/>
        <w:topLinePunct w:val="0"/>
        <w:autoSpaceDE/>
        <w:autoSpaceDN/>
        <w:bidi w:val="0"/>
        <w:adjustRightInd/>
        <w:snapToGrid/>
        <w:spacing w:line="580" w:lineRule="exact"/>
        <w:ind w:firstLine="640" w:firstLineChars="200"/>
        <w:jc w:val="both"/>
        <w:textAlignment w:val="auto"/>
        <w:rPr>
          <w:rFonts w:hint="eastAsia" w:ascii="宋体" w:hAnsi="宋体" w:eastAsia="方正仿宋简体" w:cs="方正仿宋_GBK"/>
          <w:sz w:val="32"/>
          <w:szCs w:val="32"/>
        </w:rPr>
      </w:pPr>
      <w:r>
        <w:rPr>
          <w:rFonts w:hint="eastAsia" w:ascii="宋体" w:hAnsi="宋体" w:eastAsia="方正仿宋简体" w:cs="方正仿宋_GBK"/>
          <w:sz w:val="32"/>
          <w:szCs w:val="32"/>
          <w:lang w:eastAsia="zh-CN"/>
        </w:rPr>
        <w:t>（</w:t>
      </w:r>
      <w:r>
        <w:rPr>
          <w:rFonts w:hint="eastAsia" w:ascii="宋体" w:hAnsi="宋体" w:eastAsia="方正仿宋简体" w:cs="方正仿宋_GBK"/>
          <w:sz w:val="32"/>
          <w:szCs w:val="32"/>
          <w:lang w:val="en-US" w:eastAsia="zh-CN"/>
        </w:rPr>
        <w:t>三）</w:t>
      </w:r>
      <w:r>
        <w:rPr>
          <w:rFonts w:hint="eastAsia" w:ascii="宋体" w:hAnsi="宋体" w:eastAsia="方正仿宋简体" w:cs="方正仿宋_GBK"/>
          <w:sz w:val="32"/>
          <w:szCs w:val="32"/>
        </w:rPr>
        <w:t>承担有关政策研究、制度建设等工作，组织起草县委巡察工作规划、年度计划、年度巡察工作总结、巡察综合报告等重要材料。</w:t>
      </w:r>
    </w:p>
    <w:p w14:paraId="2356C33E">
      <w:pPr>
        <w:pageBreakBefore w:val="0"/>
        <w:kinsoku/>
        <w:wordWrap/>
        <w:overflowPunct/>
        <w:topLinePunct w:val="0"/>
        <w:autoSpaceDE/>
        <w:autoSpaceDN/>
        <w:bidi w:val="0"/>
        <w:adjustRightInd/>
        <w:snapToGrid/>
        <w:spacing w:line="580" w:lineRule="exact"/>
        <w:ind w:firstLine="640" w:firstLineChars="200"/>
        <w:jc w:val="both"/>
        <w:textAlignment w:val="auto"/>
        <w:rPr>
          <w:rFonts w:hint="eastAsia" w:ascii="宋体" w:hAnsi="宋体" w:eastAsia="方正仿宋简体" w:cs="方正仿宋_GBK"/>
          <w:sz w:val="32"/>
          <w:szCs w:val="32"/>
        </w:rPr>
      </w:pPr>
      <w:r>
        <w:rPr>
          <w:rFonts w:hint="eastAsia" w:ascii="宋体" w:hAnsi="宋体" w:eastAsia="方正仿宋简体" w:cs="方正仿宋_GBK"/>
          <w:sz w:val="32"/>
          <w:szCs w:val="32"/>
          <w:lang w:eastAsia="zh-CN"/>
        </w:rPr>
        <w:t>（</w:t>
      </w:r>
      <w:r>
        <w:rPr>
          <w:rFonts w:hint="eastAsia" w:ascii="宋体" w:hAnsi="宋体" w:eastAsia="方正仿宋简体" w:cs="方正仿宋_GBK"/>
          <w:sz w:val="32"/>
          <w:szCs w:val="32"/>
          <w:lang w:val="en-US" w:eastAsia="zh-CN"/>
        </w:rPr>
        <w:t>四）</w:t>
      </w:r>
      <w:r>
        <w:rPr>
          <w:rFonts w:hint="eastAsia" w:ascii="宋体" w:hAnsi="宋体" w:eastAsia="方正仿宋简体" w:cs="方正仿宋_GBK"/>
          <w:sz w:val="32"/>
          <w:szCs w:val="32"/>
        </w:rPr>
        <w:t>对市委巡察办，县委、县委巡察工作领导小组决定的有关事项进行督办。</w:t>
      </w:r>
    </w:p>
    <w:p w14:paraId="2D855B58">
      <w:pPr>
        <w:pageBreakBefore w:val="0"/>
        <w:kinsoku/>
        <w:wordWrap/>
        <w:overflowPunct/>
        <w:topLinePunct w:val="0"/>
        <w:autoSpaceDE/>
        <w:autoSpaceDN/>
        <w:bidi w:val="0"/>
        <w:adjustRightInd/>
        <w:snapToGrid/>
        <w:spacing w:line="580" w:lineRule="exact"/>
        <w:ind w:firstLine="640" w:firstLineChars="200"/>
        <w:jc w:val="both"/>
        <w:textAlignment w:val="auto"/>
        <w:rPr>
          <w:rFonts w:hint="eastAsia" w:ascii="宋体" w:hAnsi="宋体" w:eastAsia="方正仿宋简体" w:cs="方正仿宋_GBK"/>
          <w:sz w:val="32"/>
          <w:szCs w:val="32"/>
        </w:rPr>
      </w:pPr>
      <w:r>
        <w:rPr>
          <w:rFonts w:hint="eastAsia" w:ascii="宋体" w:hAnsi="宋体" w:eastAsia="方正仿宋简体" w:cs="方正仿宋_GBK"/>
          <w:sz w:val="32"/>
          <w:szCs w:val="32"/>
          <w:lang w:eastAsia="zh-CN"/>
        </w:rPr>
        <w:t>（</w:t>
      </w:r>
      <w:r>
        <w:rPr>
          <w:rFonts w:hint="eastAsia" w:ascii="宋体" w:hAnsi="宋体" w:eastAsia="方正仿宋简体" w:cs="方正仿宋_GBK"/>
          <w:sz w:val="32"/>
          <w:szCs w:val="32"/>
          <w:lang w:val="en-US" w:eastAsia="zh-CN"/>
        </w:rPr>
        <w:t>五）</w:t>
      </w:r>
      <w:r>
        <w:rPr>
          <w:rFonts w:hint="eastAsia" w:ascii="宋体" w:hAnsi="宋体" w:eastAsia="方正仿宋简体" w:cs="方正仿宋_GBK"/>
          <w:sz w:val="32"/>
          <w:szCs w:val="32"/>
        </w:rPr>
        <w:t>配合县纪委监委机关、县委组织部及有关部门对巡察工作人员进行培训、考核、监督和管理。</w:t>
      </w:r>
    </w:p>
    <w:p w14:paraId="74D02CBD">
      <w:pPr>
        <w:pageBreakBefore w:val="0"/>
        <w:kinsoku/>
        <w:wordWrap/>
        <w:overflowPunct/>
        <w:topLinePunct w:val="0"/>
        <w:autoSpaceDE/>
        <w:autoSpaceDN/>
        <w:bidi w:val="0"/>
        <w:adjustRightInd/>
        <w:snapToGrid/>
        <w:spacing w:line="580" w:lineRule="exact"/>
        <w:ind w:firstLine="640" w:firstLineChars="200"/>
        <w:jc w:val="both"/>
        <w:textAlignment w:val="auto"/>
        <w:rPr>
          <w:rFonts w:hint="eastAsia" w:ascii="宋体" w:hAnsi="宋体" w:eastAsia="方正仿宋简体" w:cs="方正仿宋_GBK"/>
          <w:sz w:val="32"/>
          <w:szCs w:val="32"/>
        </w:rPr>
      </w:pPr>
      <w:r>
        <w:rPr>
          <w:rFonts w:hint="eastAsia" w:ascii="宋体" w:hAnsi="宋体" w:eastAsia="方正仿宋简体" w:cs="方正仿宋_GBK"/>
          <w:sz w:val="32"/>
          <w:szCs w:val="32"/>
          <w:lang w:eastAsia="zh-CN"/>
        </w:rPr>
        <w:t>（</w:t>
      </w:r>
      <w:r>
        <w:rPr>
          <w:rFonts w:hint="eastAsia" w:ascii="宋体" w:hAnsi="宋体" w:eastAsia="方正仿宋简体" w:cs="方正仿宋_GBK"/>
          <w:sz w:val="32"/>
          <w:szCs w:val="32"/>
          <w:lang w:val="en-US" w:eastAsia="zh-CN"/>
        </w:rPr>
        <w:t>六）</w:t>
      </w:r>
      <w:r>
        <w:rPr>
          <w:rFonts w:hint="eastAsia" w:ascii="宋体" w:hAnsi="宋体" w:eastAsia="方正仿宋简体" w:cs="方正仿宋_GBK"/>
          <w:sz w:val="32"/>
          <w:szCs w:val="32"/>
        </w:rPr>
        <w:t>负责与纪检监察机关、政法机关和组织、宣传、审计、信访等部门的沟通衔接工作。</w:t>
      </w:r>
    </w:p>
    <w:p w14:paraId="0984943E">
      <w:pPr>
        <w:pageBreakBefore w:val="0"/>
        <w:kinsoku/>
        <w:wordWrap/>
        <w:overflowPunct/>
        <w:topLinePunct w:val="0"/>
        <w:autoSpaceDE/>
        <w:autoSpaceDN/>
        <w:bidi w:val="0"/>
        <w:adjustRightInd/>
        <w:snapToGrid/>
        <w:spacing w:line="580" w:lineRule="exact"/>
        <w:ind w:firstLine="640" w:firstLineChars="200"/>
        <w:jc w:val="both"/>
        <w:textAlignment w:val="auto"/>
        <w:rPr>
          <w:rStyle w:val="30"/>
          <w:rFonts w:hint="eastAsia" w:ascii="宋体" w:hAnsi="宋体" w:eastAsia="方正仿宋简体"/>
          <w:b w:val="0"/>
          <w:bCs w:val="0"/>
          <w:color w:val="auto"/>
          <w:sz w:val="32"/>
          <w:highlight w:val="none"/>
          <w:lang w:eastAsia="zh-CN"/>
        </w:rPr>
      </w:pPr>
      <w:r>
        <w:rPr>
          <w:rFonts w:hint="eastAsia" w:ascii="宋体" w:hAnsi="宋体" w:eastAsia="方正仿宋简体" w:cs="方正仿宋_GBK"/>
          <w:sz w:val="32"/>
          <w:szCs w:val="32"/>
          <w:lang w:eastAsia="zh-CN"/>
        </w:rPr>
        <w:t>（</w:t>
      </w:r>
      <w:r>
        <w:rPr>
          <w:rFonts w:hint="eastAsia" w:ascii="宋体" w:hAnsi="宋体" w:eastAsia="方正仿宋简体" w:cs="方正仿宋_GBK"/>
          <w:sz w:val="32"/>
          <w:szCs w:val="32"/>
          <w:lang w:val="en-US" w:eastAsia="zh-CN"/>
        </w:rPr>
        <w:t>七）</w:t>
      </w:r>
      <w:r>
        <w:rPr>
          <w:rFonts w:hint="eastAsia" w:ascii="宋体" w:hAnsi="宋体" w:eastAsia="方正仿宋简体" w:cs="方正仿宋_GBK"/>
          <w:sz w:val="32"/>
          <w:szCs w:val="32"/>
        </w:rPr>
        <w:t>完成县委和县委巡察工作领导小组交办的其他任务。</w:t>
      </w:r>
    </w:p>
    <w:p w14:paraId="0709B2B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10" w:name="_Toc15396601"/>
      <w:bookmarkStart w:id="11" w:name="_Toc1014"/>
      <w:bookmarkStart w:id="12" w:name="_Toc15377200"/>
      <w:r>
        <w:rPr>
          <w:rFonts w:hint="eastAsia" w:ascii="宋体" w:hAnsi="宋体" w:eastAsia="方正黑体简体" w:cs="方正黑体简体"/>
          <w:b w:val="0"/>
          <w:bCs/>
          <w:color w:val="auto"/>
          <w:kern w:val="2"/>
          <w:sz w:val="32"/>
          <w:szCs w:val="32"/>
          <w:lang w:val="en-US" w:eastAsia="zh-CN" w:bidi="ar-SA"/>
        </w:rPr>
        <w:t>二、机构设置</w:t>
      </w:r>
      <w:bookmarkEnd w:id="10"/>
      <w:bookmarkEnd w:id="11"/>
      <w:bookmarkEnd w:id="12"/>
    </w:p>
    <w:p w14:paraId="3FD53C43">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中国共产党安岳县委巡察工作领导小组办公室作为县委工作部门</w:t>
      </w:r>
      <w:r>
        <w:rPr>
          <w:rFonts w:hint="eastAsia" w:ascii="宋体" w:hAnsi="宋体" w:eastAsia="方正仿宋简体" w:cs="方正仿宋简体"/>
          <w:color w:val="auto"/>
          <w:sz w:val="32"/>
          <w:szCs w:val="32"/>
          <w:highlight w:val="none"/>
          <w:lang w:eastAsia="zh-CN"/>
        </w:rPr>
        <w:t>（</w:t>
      </w:r>
      <w:r>
        <w:rPr>
          <w:rFonts w:hint="eastAsia" w:ascii="宋体" w:hAnsi="宋体" w:eastAsia="方正仿宋简体" w:cs="方正仿宋简体"/>
          <w:color w:val="auto"/>
          <w:sz w:val="32"/>
          <w:szCs w:val="32"/>
          <w:highlight w:val="none"/>
          <w:lang w:val="en-US" w:eastAsia="zh-CN"/>
        </w:rPr>
        <w:t>含6个县委巡察组），设在县纪委，属于中共安岳县纪委下属的二级预算单位，下设独立编制机构</w:t>
      </w:r>
      <w:r>
        <w:rPr>
          <w:rFonts w:hint="eastAsia" w:ascii="宋体" w:hAnsi="宋体" w:eastAsia="方正仿宋简体" w:cs="方正仿宋简体"/>
          <w:color w:val="auto"/>
          <w:sz w:val="32"/>
          <w:szCs w:val="32"/>
          <w:highlight w:val="none"/>
          <w:lang w:eastAsia="zh-CN"/>
        </w:rPr>
        <w:t>1</w:t>
      </w:r>
      <w:r>
        <w:rPr>
          <w:rFonts w:hint="eastAsia" w:ascii="宋体" w:hAnsi="宋体" w:eastAsia="方正仿宋简体" w:cs="方正仿宋简体"/>
          <w:color w:val="auto"/>
          <w:sz w:val="32"/>
          <w:szCs w:val="32"/>
          <w:highlight w:val="none"/>
          <w:lang w:val="en-US" w:eastAsia="zh-CN"/>
        </w:rPr>
        <w:t>个，其中行政机构</w:t>
      </w:r>
      <w:r>
        <w:rPr>
          <w:rFonts w:hint="eastAsia" w:ascii="宋体" w:hAnsi="宋体" w:eastAsia="方正仿宋简体" w:cs="方正仿宋简体"/>
          <w:color w:val="auto"/>
          <w:sz w:val="32"/>
          <w:szCs w:val="32"/>
          <w:highlight w:val="none"/>
          <w:lang w:eastAsia="zh-CN"/>
        </w:rPr>
        <w:t>1</w:t>
      </w:r>
      <w:r>
        <w:rPr>
          <w:rFonts w:hint="eastAsia" w:ascii="宋体" w:hAnsi="宋体" w:eastAsia="方正仿宋简体" w:cs="方正仿宋简体"/>
          <w:color w:val="auto"/>
          <w:sz w:val="32"/>
          <w:szCs w:val="32"/>
          <w:highlight w:val="none"/>
          <w:lang w:val="en-US" w:eastAsia="zh-CN"/>
        </w:rPr>
        <w:t>个，参照公务员法管理的事业机构</w:t>
      </w:r>
      <w:r>
        <w:rPr>
          <w:rFonts w:hint="eastAsia" w:ascii="宋体" w:hAnsi="宋体" w:eastAsia="方正仿宋简体" w:cs="方正仿宋简体"/>
          <w:color w:val="auto"/>
          <w:sz w:val="32"/>
          <w:szCs w:val="32"/>
          <w:highlight w:val="none"/>
          <w:lang w:eastAsia="zh-CN"/>
        </w:rPr>
        <w:t>0</w:t>
      </w:r>
      <w:r>
        <w:rPr>
          <w:rFonts w:hint="eastAsia" w:ascii="宋体" w:hAnsi="宋体" w:eastAsia="方正仿宋简体" w:cs="方正仿宋简体"/>
          <w:color w:val="auto"/>
          <w:sz w:val="32"/>
          <w:szCs w:val="32"/>
          <w:highlight w:val="none"/>
          <w:lang w:val="en-US" w:eastAsia="zh-CN"/>
        </w:rPr>
        <w:t>个，其他事业机构</w:t>
      </w:r>
      <w:r>
        <w:rPr>
          <w:rFonts w:hint="eastAsia" w:ascii="宋体" w:hAnsi="宋体" w:eastAsia="方正仿宋简体" w:cs="方正仿宋简体"/>
          <w:color w:val="auto"/>
          <w:sz w:val="32"/>
          <w:szCs w:val="32"/>
          <w:highlight w:val="none"/>
          <w:lang w:eastAsia="zh-CN"/>
        </w:rPr>
        <w:t>0</w:t>
      </w:r>
      <w:r>
        <w:rPr>
          <w:rFonts w:hint="eastAsia" w:ascii="宋体" w:hAnsi="宋体" w:eastAsia="方正仿宋简体" w:cs="方正仿宋简体"/>
          <w:color w:val="auto"/>
          <w:sz w:val="32"/>
          <w:szCs w:val="32"/>
          <w:highlight w:val="none"/>
          <w:lang w:val="en-US" w:eastAsia="zh-CN"/>
        </w:rPr>
        <w:t>个。县</w:t>
      </w:r>
      <w:r>
        <w:rPr>
          <w:rFonts w:hint="eastAsia" w:ascii="宋体" w:hAnsi="宋体" w:eastAsia="方正仿宋简体" w:cs="方正仿宋简体"/>
          <w:color w:val="auto"/>
          <w:sz w:val="32"/>
          <w:szCs w:val="32"/>
          <w:highlight w:val="none"/>
          <w:lang w:eastAsia="zh-CN"/>
        </w:rPr>
        <w:t>委巡察办总编制</w:t>
      </w:r>
      <w:r>
        <w:rPr>
          <w:rFonts w:hint="eastAsia" w:ascii="宋体" w:hAnsi="宋体" w:eastAsia="方正仿宋简体" w:cs="方正仿宋简体"/>
          <w:color w:val="auto"/>
          <w:sz w:val="32"/>
          <w:szCs w:val="32"/>
          <w:highlight w:val="none"/>
          <w:lang w:val="en-US" w:eastAsia="zh-CN"/>
        </w:rPr>
        <w:t>23</w:t>
      </w:r>
      <w:r>
        <w:rPr>
          <w:rFonts w:hint="eastAsia" w:ascii="宋体" w:hAnsi="宋体" w:eastAsia="方正仿宋简体" w:cs="方正仿宋简体"/>
          <w:color w:val="auto"/>
          <w:sz w:val="32"/>
          <w:szCs w:val="32"/>
          <w:highlight w:val="none"/>
          <w:lang w:eastAsia="zh-CN"/>
        </w:rPr>
        <w:t>名，行政编制</w:t>
      </w:r>
      <w:r>
        <w:rPr>
          <w:rFonts w:hint="eastAsia" w:ascii="宋体" w:hAnsi="宋体" w:eastAsia="方正仿宋简体" w:cs="方正仿宋简体"/>
          <w:color w:val="auto"/>
          <w:sz w:val="32"/>
          <w:szCs w:val="32"/>
          <w:highlight w:val="none"/>
          <w:lang w:val="en-US" w:eastAsia="zh-CN"/>
        </w:rPr>
        <w:t>23</w:t>
      </w:r>
      <w:r>
        <w:rPr>
          <w:rFonts w:hint="eastAsia" w:ascii="宋体" w:hAnsi="宋体" w:eastAsia="方正仿宋简体" w:cs="方正仿宋简体"/>
          <w:color w:val="auto"/>
          <w:sz w:val="32"/>
          <w:szCs w:val="32"/>
          <w:highlight w:val="none"/>
          <w:lang w:eastAsia="zh-CN"/>
        </w:rPr>
        <w:t>名。</w:t>
      </w:r>
      <w:r>
        <w:rPr>
          <w:rFonts w:hint="eastAsia" w:ascii="宋体" w:hAnsi="宋体" w:eastAsia="方正仿宋简体" w:cs="方正仿宋简体"/>
          <w:color w:val="auto"/>
          <w:sz w:val="32"/>
          <w:szCs w:val="32"/>
          <w:highlight w:val="none"/>
          <w:lang w:val="en-US" w:eastAsia="zh-CN"/>
        </w:rPr>
        <w:t>其中，主任1名、副主任1名，中层职数3名；6个县委巡察组（组长、副组长、巡察专员各1名），供给关系在县纪委，</w:t>
      </w:r>
      <w:r>
        <w:rPr>
          <w:rFonts w:hint="eastAsia" w:ascii="宋体" w:hAnsi="宋体" w:eastAsia="方正仿宋简体" w:cs="方正仿宋简体"/>
          <w:color w:val="auto"/>
          <w:sz w:val="32"/>
          <w:szCs w:val="32"/>
          <w:highlight w:val="none"/>
          <w:lang w:eastAsia="zh-CN"/>
        </w:rPr>
        <w:t>202</w:t>
      </w:r>
      <w:r>
        <w:rPr>
          <w:rFonts w:hint="eastAsia" w:ascii="宋体" w:hAnsi="宋体" w:eastAsia="方正仿宋简体" w:cs="方正仿宋简体"/>
          <w:color w:val="auto"/>
          <w:sz w:val="32"/>
          <w:szCs w:val="32"/>
          <w:highlight w:val="none"/>
          <w:lang w:val="en-US" w:eastAsia="zh-CN"/>
        </w:rPr>
        <w:t>4年度巡察工作专项经费作为中共安岳县纪委下属二级预算单位独立核算。</w:t>
      </w:r>
    </w:p>
    <w:p w14:paraId="0746840F">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纳入</w:t>
      </w:r>
      <w:r>
        <w:rPr>
          <w:rFonts w:hint="eastAsia" w:ascii="宋体" w:hAnsi="宋体" w:eastAsia="方正仿宋简体" w:cs="方正仿宋简体"/>
          <w:color w:val="auto"/>
          <w:sz w:val="32"/>
          <w:szCs w:val="32"/>
          <w:highlight w:val="none"/>
          <w:lang w:eastAsia="zh-CN"/>
        </w:rPr>
        <w:t>202</w:t>
      </w:r>
      <w:r>
        <w:rPr>
          <w:rFonts w:hint="eastAsia" w:ascii="宋体" w:hAnsi="宋体" w:eastAsia="方正仿宋简体" w:cs="方正仿宋简体"/>
          <w:color w:val="auto"/>
          <w:sz w:val="32"/>
          <w:szCs w:val="32"/>
          <w:highlight w:val="none"/>
          <w:lang w:val="en-US" w:eastAsia="zh-CN"/>
        </w:rPr>
        <w:t>4年度部门决算编制范围的独立编制机构包括：</w:t>
      </w:r>
    </w:p>
    <w:p w14:paraId="0AE0B662">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bookmarkStart w:id="13" w:name="_Toc15306276"/>
      <w:bookmarkStart w:id="14" w:name="_Toc15378449"/>
      <w:bookmarkStart w:id="15" w:name="_Toc15377433"/>
      <w:bookmarkStart w:id="16" w:name="_Toc15377202"/>
      <w:r>
        <w:rPr>
          <w:rFonts w:hint="eastAsia" w:ascii="宋体" w:hAnsi="宋体" w:eastAsia="方正仿宋简体" w:cs="方正仿宋简体"/>
          <w:color w:val="auto"/>
          <w:sz w:val="32"/>
          <w:szCs w:val="32"/>
          <w:highlight w:val="none"/>
          <w:lang w:val="en-US" w:eastAsia="zh-CN"/>
        </w:rPr>
        <w:t>1.</w:t>
      </w:r>
      <w:bookmarkEnd w:id="13"/>
      <w:bookmarkEnd w:id="14"/>
      <w:bookmarkEnd w:id="15"/>
      <w:bookmarkEnd w:id="16"/>
      <w:r>
        <w:rPr>
          <w:rFonts w:hint="eastAsia" w:ascii="宋体" w:hAnsi="宋体" w:eastAsia="方正仿宋简体" w:cs="方正仿宋简体"/>
          <w:color w:val="auto"/>
          <w:sz w:val="32"/>
          <w:szCs w:val="32"/>
          <w:highlight w:val="none"/>
          <w:lang w:val="zh-CN" w:eastAsia="zh-CN"/>
        </w:rPr>
        <w:t>中国共产党安岳县委员会巡察工作领导小组办公室</w:t>
      </w:r>
    </w:p>
    <w:p w14:paraId="6D770CA7">
      <w:pPr>
        <w:pageBreakBefore w:val="0"/>
        <w:widowControl/>
        <w:kinsoku/>
        <w:wordWrap/>
        <w:overflowPunct/>
        <w:topLinePunct w:val="0"/>
        <w:autoSpaceDE/>
        <w:autoSpaceDN/>
        <w:bidi w:val="0"/>
        <w:adjustRightInd/>
        <w:snapToGrid/>
        <w:spacing w:line="580" w:lineRule="exact"/>
        <w:jc w:val="left"/>
        <w:textAlignment w:val="auto"/>
        <w:rPr>
          <w:rFonts w:ascii="仿宋" w:hAnsi="仿宋" w:eastAsia="仿宋"/>
          <w:kern w:val="0"/>
          <w:sz w:val="32"/>
          <w:szCs w:val="32"/>
        </w:rPr>
      </w:pPr>
    </w:p>
    <w:p w14:paraId="2614F210">
      <w:pPr>
        <w:pStyle w:val="4"/>
        <w:pageBreakBefore w:val="0"/>
        <w:kinsoku/>
        <w:wordWrap/>
        <w:overflowPunct/>
        <w:topLinePunct w:val="0"/>
        <w:autoSpaceDE/>
        <w:autoSpaceDN/>
        <w:bidi w:val="0"/>
        <w:adjustRightInd/>
        <w:snapToGrid/>
        <w:spacing w:line="580" w:lineRule="exact"/>
        <w:textAlignment w:val="auto"/>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14:paraId="7CC586E1">
      <w:pPr>
        <w:pStyle w:val="3"/>
        <w:keepNext/>
        <w:keepLines/>
        <w:pageBreakBefore w:val="0"/>
        <w:widowControl w:val="0"/>
        <w:numPr>
          <w:ilvl w:val="0"/>
          <w:numId w:val="0"/>
        </w:numPr>
        <w:kinsoku/>
        <w:wordWrap/>
        <w:overflowPunct/>
        <w:topLinePunct w:val="0"/>
        <w:autoSpaceDE/>
        <w:autoSpaceDN/>
        <w:bidi w:val="0"/>
        <w:adjustRightInd/>
        <w:snapToGrid/>
        <w:spacing w:before="0" w:after="0" w:line="660" w:lineRule="exact"/>
        <w:jc w:val="center"/>
        <w:textAlignment w:val="auto"/>
        <w:rPr>
          <w:rFonts w:hint="eastAsia" w:ascii="Times New Roman" w:hAnsi="Times New Roman" w:eastAsia="方正小标宋简体" w:cs="方正小标宋简体"/>
          <w:b w:val="0"/>
          <w:bCs w:val="0"/>
          <w:color w:val="auto"/>
          <w:kern w:val="44"/>
          <w:sz w:val="44"/>
          <w:szCs w:val="44"/>
          <w:lang w:val="en-US" w:eastAsia="zh-CN" w:bidi="ar-SA"/>
        </w:rPr>
      </w:pPr>
      <w:bookmarkStart w:id="17" w:name="_Toc15534"/>
      <w:bookmarkStart w:id="18" w:name="_Toc15377204"/>
      <w:bookmarkStart w:id="19" w:name="_Toc15396602"/>
      <w:r>
        <w:rPr>
          <w:rFonts w:hint="eastAsia" w:ascii="Times New Roman" w:hAnsi="Times New Roman" w:eastAsia="方正小标宋简体" w:cs="方正小标宋简体"/>
          <w:b w:val="0"/>
          <w:bCs w:val="0"/>
          <w:color w:val="auto"/>
          <w:kern w:val="44"/>
          <w:sz w:val="44"/>
          <w:szCs w:val="44"/>
          <w:lang w:val="en-US" w:eastAsia="zh-CN" w:bidi="ar-SA"/>
        </w:rPr>
        <w:t>第二部分  2024年度单位决算情况说明</w:t>
      </w:r>
      <w:bookmarkEnd w:id="17"/>
      <w:bookmarkEnd w:id="18"/>
      <w:bookmarkEnd w:id="19"/>
    </w:p>
    <w:p w14:paraId="0DB5F102">
      <w:pPr>
        <w:pStyle w:val="3"/>
        <w:keepNext/>
        <w:keepLines/>
        <w:pageBreakBefore w:val="0"/>
        <w:widowControl w:val="0"/>
        <w:numPr>
          <w:ilvl w:val="0"/>
          <w:numId w:val="0"/>
        </w:numPr>
        <w:kinsoku/>
        <w:wordWrap/>
        <w:overflowPunct/>
        <w:topLinePunct w:val="0"/>
        <w:autoSpaceDE/>
        <w:autoSpaceDN/>
        <w:bidi w:val="0"/>
        <w:adjustRightInd/>
        <w:snapToGrid/>
        <w:spacing w:before="0" w:after="0" w:line="660" w:lineRule="exact"/>
        <w:jc w:val="center"/>
        <w:textAlignment w:val="auto"/>
        <w:rPr>
          <w:rFonts w:hint="eastAsia" w:ascii="Times New Roman" w:hAnsi="Times New Roman" w:eastAsia="方正小标宋简体" w:cs="方正小标宋简体"/>
          <w:b w:val="0"/>
          <w:bCs w:val="0"/>
          <w:color w:val="auto"/>
          <w:kern w:val="44"/>
          <w:sz w:val="44"/>
          <w:szCs w:val="44"/>
          <w:lang w:val="en-US" w:eastAsia="zh-CN" w:bidi="ar-SA"/>
        </w:rPr>
      </w:pPr>
    </w:p>
    <w:p w14:paraId="3E317FC8">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20" w:name="_Toc15377205"/>
      <w:bookmarkStart w:id="21" w:name="_Toc24234"/>
      <w:bookmarkStart w:id="22" w:name="_Toc15396603"/>
      <w:r>
        <w:rPr>
          <w:rFonts w:hint="eastAsia" w:ascii="宋体" w:hAnsi="宋体" w:eastAsia="方正黑体简体" w:cs="方正黑体简体"/>
          <w:b w:val="0"/>
          <w:bCs/>
          <w:color w:val="auto"/>
          <w:kern w:val="2"/>
          <w:sz w:val="32"/>
          <w:szCs w:val="32"/>
          <w:lang w:val="en-US" w:eastAsia="zh-CN" w:bidi="ar-SA"/>
        </w:rPr>
        <w:t>一、收入支出决算总体情况说明</w:t>
      </w:r>
      <w:bookmarkEnd w:id="20"/>
      <w:bookmarkEnd w:id="21"/>
      <w:bookmarkEnd w:id="22"/>
    </w:p>
    <w:p w14:paraId="30F182CF">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eastAsia="zh-CN"/>
        </w:rPr>
      </w:pPr>
      <w:r>
        <w:rPr>
          <w:rFonts w:hint="eastAsia" w:ascii="宋体" w:hAnsi="宋体" w:eastAsia="方正仿宋简体" w:cs="方正仿宋简体"/>
          <w:color w:val="auto"/>
          <w:sz w:val="32"/>
          <w:szCs w:val="32"/>
          <w:highlight w:val="none"/>
          <w:lang w:eastAsia="zh-CN"/>
        </w:rPr>
        <w:t>2024年度收入</w:t>
      </w:r>
      <w:r>
        <w:rPr>
          <w:rFonts w:hint="eastAsia" w:ascii="宋体" w:hAnsi="宋体" w:eastAsia="方正仿宋简体" w:cs="方正仿宋简体"/>
          <w:color w:val="auto"/>
          <w:sz w:val="32"/>
          <w:szCs w:val="32"/>
          <w:highlight w:val="none"/>
        </w:rPr>
        <w:t>、</w:t>
      </w:r>
      <w:r>
        <w:rPr>
          <w:rFonts w:hint="eastAsia" w:ascii="宋体" w:hAnsi="宋体" w:eastAsia="方正仿宋简体" w:cs="方正仿宋简体"/>
          <w:color w:val="auto"/>
          <w:sz w:val="32"/>
          <w:szCs w:val="32"/>
          <w:highlight w:val="none"/>
          <w:lang w:eastAsia="zh-CN"/>
        </w:rPr>
        <w:t>支出</w:t>
      </w:r>
      <w:r>
        <w:rPr>
          <w:rFonts w:hint="eastAsia" w:ascii="宋体" w:hAnsi="宋体" w:eastAsia="方正仿宋简体" w:cs="方正仿宋简体"/>
          <w:color w:val="auto"/>
          <w:sz w:val="32"/>
          <w:szCs w:val="32"/>
          <w:highlight w:val="none"/>
        </w:rPr>
        <w:t>总计</w:t>
      </w:r>
      <w:r>
        <w:rPr>
          <w:rFonts w:hint="eastAsia" w:ascii="宋体" w:hAnsi="宋体" w:eastAsia="方正仿宋简体" w:cs="方正仿宋简体"/>
          <w:color w:val="auto"/>
          <w:sz w:val="32"/>
          <w:szCs w:val="32"/>
          <w:highlight w:val="none"/>
          <w:lang w:eastAsia="zh-CN"/>
        </w:rPr>
        <w:t>均为</w:t>
      </w:r>
      <w:r>
        <w:rPr>
          <w:rFonts w:hint="eastAsia" w:ascii="宋体" w:hAnsi="宋体" w:eastAsia="方正仿宋简体" w:cs="方正仿宋简体"/>
          <w:color w:val="auto"/>
          <w:sz w:val="32"/>
          <w:szCs w:val="32"/>
          <w:highlight w:val="none"/>
        </w:rPr>
        <w:t>64</w:t>
      </w:r>
      <w:r>
        <w:rPr>
          <w:rFonts w:hint="eastAsia" w:ascii="宋体" w:hAnsi="宋体" w:eastAsia="方正仿宋简体" w:cs="方正仿宋简体"/>
          <w:color w:val="auto"/>
          <w:sz w:val="32"/>
          <w:szCs w:val="32"/>
          <w:highlight w:val="none"/>
          <w:lang w:val="en-US" w:eastAsia="zh-CN"/>
        </w:rPr>
        <w:t>.</w:t>
      </w:r>
      <w:r>
        <w:rPr>
          <w:rFonts w:hint="eastAsia" w:ascii="宋体" w:hAnsi="宋体" w:eastAsia="方正仿宋简体" w:cs="方正仿宋简体"/>
          <w:color w:val="auto"/>
          <w:sz w:val="32"/>
          <w:szCs w:val="32"/>
          <w:highlight w:val="none"/>
        </w:rPr>
        <w:t>48万元。与</w:t>
      </w:r>
      <w:r>
        <w:rPr>
          <w:rFonts w:hint="eastAsia" w:ascii="宋体" w:hAnsi="宋体" w:eastAsia="方正仿宋简体" w:cs="方正仿宋简体"/>
          <w:color w:val="auto"/>
          <w:sz w:val="32"/>
          <w:szCs w:val="32"/>
          <w:highlight w:val="none"/>
          <w:lang w:eastAsia="zh-CN"/>
        </w:rPr>
        <w:t>202</w:t>
      </w:r>
      <w:r>
        <w:rPr>
          <w:rFonts w:hint="eastAsia" w:ascii="宋体" w:hAnsi="宋体" w:eastAsia="方正仿宋简体" w:cs="方正仿宋简体"/>
          <w:color w:val="auto"/>
          <w:sz w:val="32"/>
          <w:szCs w:val="32"/>
          <w:highlight w:val="none"/>
          <w:lang w:val="en-US" w:eastAsia="zh-CN"/>
        </w:rPr>
        <w:t>3</w:t>
      </w:r>
      <w:r>
        <w:rPr>
          <w:rFonts w:hint="eastAsia" w:ascii="宋体" w:hAnsi="宋体" w:eastAsia="方正仿宋简体" w:cs="方正仿宋简体"/>
          <w:color w:val="auto"/>
          <w:sz w:val="32"/>
          <w:szCs w:val="32"/>
          <w:highlight w:val="none"/>
        </w:rPr>
        <w:t>年</w:t>
      </w:r>
      <w:r>
        <w:rPr>
          <w:rFonts w:hint="eastAsia" w:ascii="宋体" w:hAnsi="宋体" w:eastAsia="方正仿宋简体" w:cs="方正仿宋简体"/>
          <w:color w:val="auto"/>
          <w:sz w:val="32"/>
          <w:szCs w:val="32"/>
          <w:highlight w:val="none"/>
          <w:lang w:eastAsia="zh-CN"/>
        </w:rPr>
        <w:t>度</w:t>
      </w:r>
      <w:r>
        <w:rPr>
          <w:rFonts w:hint="eastAsia" w:ascii="宋体" w:hAnsi="宋体" w:eastAsia="方正仿宋简体" w:cs="方正仿宋简体"/>
          <w:color w:val="auto"/>
          <w:sz w:val="32"/>
          <w:szCs w:val="32"/>
          <w:highlight w:val="none"/>
        </w:rPr>
        <w:t>相比，</w:t>
      </w:r>
      <w:r>
        <w:rPr>
          <w:rFonts w:hint="eastAsia" w:ascii="宋体" w:hAnsi="宋体" w:eastAsia="方正仿宋简体" w:cs="方正仿宋简体"/>
          <w:color w:val="auto"/>
          <w:sz w:val="32"/>
          <w:szCs w:val="32"/>
          <w:highlight w:val="none"/>
          <w:lang w:eastAsia="zh-CN"/>
        </w:rPr>
        <w:t>收入</w:t>
      </w:r>
      <w:r>
        <w:rPr>
          <w:rFonts w:hint="eastAsia" w:ascii="宋体" w:hAnsi="宋体" w:eastAsia="方正仿宋简体" w:cs="方正仿宋简体"/>
          <w:color w:val="auto"/>
          <w:sz w:val="32"/>
          <w:szCs w:val="32"/>
          <w:highlight w:val="none"/>
        </w:rPr>
        <w:t>、</w:t>
      </w:r>
      <w:r>
        <w:rPr>
          <w:rFonts w:hint="eastAsia" w:ascii="宋体" w:hAnsi="宋体" w:eastAsia="方正仿宋简体" w:cs="方正仿宋简体"/>
          <w:color w:val="auto"/>
          <w:sz w:val="32"/>
          <w:szCs w:val="32"/>
          <w:highlight w:val="none"/>
          <w:lang w:eastAsia="zh-CN"/>
        </w:rPr>
        <w:t>支出</w:t>
      </w:r>
      <w:r>
        <w:rPr>
          <w:rFonts w:hint="eastAsia" w:ascii="宋体" w:hAnsi="宋体" w:eastAsia="方正仿宋简体" w:cs="方正仿宋简体"/>
          <w:color w:val="auto"/>
          <w:sz w:val="32"/>
          <w:szCs w:val="32"/>
          <w:highlight w:val="none"/>
        </w:rPr>
        <w:t>总计各减少</w:t>
      </w:r>
      <w:r>
        <w:rPr>
          <w:rFonts w:hint="eastAsia" w:ascii="宋体" w:hAnsi="宋体" w:eastAsia="方正仿宋简体" w:cs="方正仿宋简体"/>
          <w:color w:val="auto"/>
          <w:sz w:val="32"/>
          <w:szCs w:val="32"/>
          <w:highlight w:val="none"/>
          <w:lang w:val="en-US" w:eastAsia="zh-CN"/>
        </w:rPr>
        <w:t>39.64</w:t>
      </w:r>
      <w:r>
        <w:rPr>
          <w:rFonts w:hint="eastAsia" w:ascii="宋体" w:hAnsi="宋体" w:eastAsia="方正仿宋简体" w:cs="方正仿宋简体"/>
          <w:color w:val="auto"/>
          <w:sz w:val="32"/>
          <w:szCs w:val="32"/>
          <w:highlight w:val="none"/>
        </w:rPr>
        <w:t>万元，下降</w:t>
      </w:r>
      <w:r>
        <w:rPr>
          <w:rFonts w:hint="eastAsia" w:ascii="宋体" w:hAnsi="宋体" w:eastAsia="方正仿宋简体" w:cs="方正仿宋简体"/>
          <w:color w:val="auto"/>
          <w:sz w:val="32"/>
          <w:szCs w:val="32"/>
          <w:highlight w:val="none"/>
          <w:lang w:val="en-US" w:eastAsia="zh-CN"/>
        </w:rPr>
        <w:t>38.07</w:t>
      </w:r>
      <w:r>
        <w:rPr>
          <w:rFonts w:hint="eastAsia" w:ascii="宋体" w:hAnsi="宋体" w:eastAsia="方正仿宋简体" w:cs="方正仿宋简体"/>
          <w:color w:val="auto"/>
          <w:sz w:val="32"/>
          <w:szCs w:val="32"/>
          <w:highlight w:val="none"/>
        </w:rPr>
        <w:t>%。主要变动原因</w:t>
      </w:r>
      <w:r>
        <w:rPr>
          <w:rFonts w:hint="eastAsia" w:ascii="宋体" w:hAnsi="宋体" w:eastAsia="方正仿宋简体" w:cs="方正仿宋简体"/>
          <w:color w:val="auto"/>
          <w:sz w:val="32"/>
          <w:szCs w:val="32"/>
          <w:highlight w:val="none"/>
          <w:lang w:val="en-US" w:eastAsia="zh-CN"/>
        </w:rPr>
        <w:t>一</w:t>
      </w:r>
      <w:r>
        <w:rPr>
          <w:rFonts w:hint="eastAsia" w:ascii="宋体" w:hAnsi="宋体" w:eastAsia="方正仿宋简体" w:cs="方正仿宋简体"/>
          <w:color w:val="auto"/>
          <w:sz w:val="32"/>
          <w:szCs w:val="32"/>
          <w:highlight w:val="none"/>
        </w:rPr>
        <w:t>是</w:t>
      </w:r>
      <w:r>
        <w:rPr>
          <w:rFonts w:hint="eastAsia" w:ascii="宋体" w:hAnsi="宋体" w:eastAsia="方正仿宋简体" w:cs="方正仿宋简体"/>
          <w:sz w:val="32"/>
          <w:szCs w:val="32"/>
          <w:lang w:eastAsia="zh-CN"/>
        </w:rPr>
        <w:t>县财政严格控制项目经费预算；</w:t>
      </w:r>
      <w:r>
        <w:rPr>
          <w:rFonts w:hint="eastAsia" w:ascii="宋体" w:hAnsi="宋体" w:eastAsia="方正仿宋简体" w:cs="方正仿宋简体"/>
          <w:sz w:val="32"/>
          <w:szCs w:val="32"/>
          <w:lang w:val="en-US" w:eastAsia="zh-CN"/>
        </w:rPr>
        <w:t>二是</w:t>
      </w:r>
      <w:r>
        <w:rPr>
          <w:rFonts w:hint="eastAsia" w:ascii="宋体" w:hAnsi="宋体" w:eastAsia="方正仿宋简体" w:cs="方正仿宋简体"/>
          <w:color w:val="000000"/>
          <w:sz w:val="32"/>
          <w:szCs w:val="32"/>
          <w:u w:val="none"/>
          <w:lang w:val="en-US" w:eastAsia="zh-CN"/>
        </w:rPr>
        <w:t>2024年用收回国库集中支付结余资金29.03万元支付县委巡察专项经费</w:t>
      </w:r>
      <w:r>
        <w:rPr>
          <w:rFonts w:hint="eastAsia" w:ascii="宋体" w:hAnsi="宋体" w:eastAsia="方正仿宋简体" w:cs="方正仿宋简体"/>
          <w:sz w:val="32"/>
          <w:szCs w:val="32"/>
        </w:rPr>
        <w:t>。</w:t>
      </w:r>
      <w:r>
        <w:rPr>
          <w:rFonts w:hint="eastAsia" w:ascii="宋体" w:hAnsi="宋体" w:eastAsia="方正仿宋简体" w:cs="方正仿宋简体"/>
          <w:b w:val="0"/>
          <w:bCs w:val="0"/>
          <w:color w:val="000000"/>
          <w:sz w:val="32"/>
          <w:szCs w:val="32"/>
          <w:u w:val="none"/>
          <w:lang w:val="en-US" w:eastAsia="zh-CN"/>
        </w:rPr>
        <w:drawing>
          <wp:anchor distT="0" distB="0" distL="114300" distR="114300" simplePos="0" relativeHeight="251660288" behindDoc="0" locked="0" layoutInCell="1" allowOverlap="1">
            <wp:simplePos x="0" y="0"/>
            <wp:positionH relativeFrom="column">
              <wp:posOffset>582930</wp:posOffset>
            </wp:positionH>
            <wp:positionV relativeFrom="page">
              <wp:posOffset>4329430</wp:posOffset>
            </wp:positionV>
            <wp:extent cx="4319905" cy="2339975"/>
            <wp:effectExtent l="4445" t="4445" r="6350" b="508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14:paraId="3DC61A0F">
      <w:pPr>
        <w:pageBreakBefore w:val="0"/>
        <w:kinsoku/>
        <w:wordWrap/>
        <w:overflowPunct/>
        <w:topLinePunct w:val="0"/>
        <w:autoSpaceDE/>
        <w:autoSpaceDN/>
        <w:bidi w:val="0"/>
        <w:adjustRightInd/>
        <w:snapToGrid/>
        <w:spacing w:line="580" w:lineRule="exact"/>
        <w:jc w:val="center"/>
        <w:textAlignment w:val="auto"/>
        <w:rPr>
          <w:rFonts w:hint="eastAsia" w:ascii="宋体" w:hAnsi="宋体" w:eastAsia="方正仿宋简体" w:cs="方正仿宋简体"/>
          <w:color w:val="auto"/>
          <w:sz w:val="32"/>
          <w:szCs w:val="32"/>
          <w:highlight w:val="none"/>
          <w:lang w:eastAsia="zh-CN"/>
        </w:rPr>
      </w:pPr>
      <w:r>
        <w:rPr>
          <w:rFonts w:hint="eastAsia" w:ascii="宋体" w:hAnsi="宋体" w:eastAsia="方正仿宋简体" w:cs="方正仿宋简体"/>
          <w:color w:val="auto"/>
          <w:sz w:val="32"/>
          <w:szCs w:val="32"/>
          <w:highlight w:val="none"/>
          <w:lang w:eastAsia="zh-CN"/>
        </w:rPr>
        <w:t>（图1：收入、支出决算总计变动情况图）</w:t>
      </w:r>
    </w:p>
    <w:p w14:paraId="389FBFDF">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23" w:name="_Toc16637"/>
      <w:bookmarkStart w:id="24" w:name="_Toc15396604"/>
      <w:bookmarkStart w:id="25" w:name="_Toc15377206"/>
      <w:r>
        <w:rPr>
          <w:rFonts w:hint="eastAsia" w:ascii="宋体" w:hAnsi="宋体" w:eastAsia="方正黑体简体" w:cs="方正黑体简体"/>
          <w:b w:val="0"/>
          <w:bCs/>
          <w:color w:val="auto"/>
          <w:kern w:val="2"/>
          <w:sz w:val="32"/>
          <w:szCs w:val="32"/>
          <w:lang w:val="en-US" w:eastAsia="zh-CN" w:bidi="ar-SA"/>
        </w:rPr>
        <w:t>二、收入决算情况说明</w:t>
      </w:r>
      <w:bookmarkEnd w:id="23"/>
      <w:bookmarkEnd w:id="24"/>
      <w:bookmarkEnd w:id="25"/>
    </w:p>
    <w:p w14:paraId="45AC21E4">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eastAsia="zh-CN"/>
        </w:rPr>
      </w:pPr>
      <w:r>
        <w:rPr>
          <w:rFonts w:hint="eastAsia" w:ascii="宋体" w:hAnsi="宋体" w:eastAsia="方正仿宋简体" w:cs="方正仿宋简体"/>
          <w:color w:val="auto"/>
          <w:sz w:val="32"/>
          <w:szCs w:val="32"/>
          <w:highlight w:val="none"/>
          <w:lang w:eastAsia="zh-CN"/>
        </w:rPr>
        <w:t>2024年度本年收入合计</w:t>
      </w:r>
      <w:r>
        <w:rPr>
          <w:rFonts w:hint="eastAsia" w:ascii="宋体" w:hAnsi="宋体" w:eastAsia="方正仿宋简体" w:cs="方正仿宋简体"/>
          <w:color w:val="auto"/>
          <w:sz w:val="32"/>
          <w:szCs w:val="32"/>
          <w:highlight w:val="none"/>
          <w:lang w:val="en-US" w:eastAsia="zh-CN"/>
        </w:rPr>
        <w:t>64.48</w:t>
      </w:r>
      <w:r>
        <w:rPr>
          <w:rFonts w:hint="eastAsia" w:ascii="宋体" w:hAnsi="宋体" w:eastAsia="方正仿宋简体" w:cs="方正仿宋简体"/>
          <w:color w:val="auto"/>
          <w:sz w:val="32"/>
          <w:szCs w:val="32"/>
          <w:highlight w:val="none"/>
          <w:lang w:eastAsia="zh-CN"/>
        </w:rPr>
        <w:t>万元，其中：一般公共预算财政拨款收入</w:t>
      </w:r>
      <w:r>
        <w:rPr>
          <w:rFonts w:hint="eastAsia" w:ascii="宋体" w:hAnsi="宋体" w:eastAsia="方正仿宋简体" w:cs="方正仿宋简体"/>
          <w:color w:val="auto"/>
          <w:sz w:val="32"/>
          <w:szCs w:val="32"/>
          <w:highlight w:val="none"/>
          <w:lang w:val="en-US" w:eastAsia="zh-CN"/>
        </w:rPr>
        <w:t>64.48</w:t>
      </w:r>
      <w:r>
        <w:rPr>
          <w:rFonts w:hint="eastAsia" w:ascii="宋体" w:hAnsi="宋体" w:eastAsia="方正仿宋简体" w:cs="方正仿宋简体"/>
          <w:color w:val="auto"/>
          <w:sz w:val="32"/>
          <w:szCs w:val="32"/>
          <w:highlight w:val="none"/>
          <w:lang w:eastAsia="zh-CN"/>
        </w:rPr>
        <w:t>万元，占</w:t>
      </w:r>
      <w:r>
        <w:rPr>
          <w:rFonts w:hint="eastAsia" w:ascii="宋体" w:hAnsi="宋体" w:eastAsia="方正仿宋简体" w:cs="方正仿宋简体"/>
          <w:color w:val="auto"/>
          <w:sz w:val="32"/>
          <w:szCs w:val="32"/>
          <w:highlight w:val="none"/>
          <w:lang w:val="en-US" w:eastAsia="zh-CN"/>
        </w:rPr>
        <w:t>100</w:t>
      </w:r>
      <w:r>
        <w:rPr>
          <w:rFonts w:hint="eastAsia" w:ascii="宋体" w:hAnsi="宋体" w:eastAsia="方正仿宋简体" w:cs="方正仿宋简体"/>
          <w:color w:val="auto"/>
          <w:sz w:val="32"/>
          <w:szCs w:val="32"/>
          <w:highlight w:val="none"/>
          <w:lang w:eastAsia="zh-CN"/>
        </w:rPr>
        <w:t>%。</w:t>
      </w:r>
    </w:p>
    <w:p w14:paraId="53373A79">
      <w:pPr>
        <w:pStyle w:val="2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eastAsia="仿宋_GB2312" w:cs="仿宋_GB2312"/>
          <w:color w:val="auto"/>
          <w:sz w:val="32"/>
          <w:szCs w:val="32"/>
          <w:highlight w:val="none"/>
          <w:lang w:eastAsia="zh-CN"/>
        </w:rPr>
      </w:pPr>
    </w:p>
    <w:p w14:paraId="6B998EB5">
      <w:pPr>
        <w:pStyle w:val="2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eastAsia="仿宋_GB2312" w:cs="仿宋_GB2312"/>
          <w:color w:val="auto"/>
          <w:sz w:val="32"/>
          <w:szCs w:val="32"/>
          <w:highlight w:val="none"/>
          <w:lang w:eastAsia="zh-CN"/>
        </w:rPr>
      </w:pPr>
    </w:p>
    <w:p w14:paraId="3E8E96FF">
      <w:pPr>
        <w:pStyle w:val="2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eastAsia="仿宋_GB2312" w:cs="仿宋_GB2312"/>
          <w:color w:val="auto"/>
          <w:sz w:val="32"/>
          <w:szCs w:val="32"/>
          <w:highlight w:val="none"/>
          <w:lang w:eastAsia="zh-CN"/>
        </w:rPr>
      </w:pPr>
    </w:p>
    <w:p w14:paraId="2BEA3D2C">
      <w:pPr>
        <w:pageBreakBefore w:val="0"/>
        <w:kinsoku/>
        <w:wordWrap/>
        <w:overflowPunct/>
        <w:topLinePunct w:val="0"/>
        <w:autoSpaceDE/>
        <w:autoSpaceDN/>
        <w:bidi w:val="0"/>
        <w:adjustRightInd/>
        <w:snapToGrid/>
        <w:spacing w:line="580" w:lineRule="exact"/>
        <w:jc w:val="center"/>
        <w:textAlignment w:val="auto"/>
        <w:rPr>
          <w:rFonts w:hint="eastAsia" w:ascii="宋体" w:hAnsi="宋体" w:eastAsia="方正仿宋简体" w:cs="方正仿宋简体"/>
          <w:color w:val="auto"/>
          <w:sz w:val="32"/>
          <w:szCs w:val="32"/>
          <w:highlight w:val="none"/>
          <w:lang w:eastAsia="zh-CN"/>
        </w:rPr>
      </w:pPr>
      <w:r>
        <w:rPr>
          <w:rFonts w:hint="eastAsia" w:ascii="宋体" w:hAnsi="宋体" w:eastAsia="方正仿宋简体" w:cs="方正仿宋简体"/>
          <w:color w:val="auto"/>
          <w:sz w:val="32"/>
          <w:szCs w:val="32"/>
          <w:highlight w:val="none"/>
          <w:lang w:val="en-US" w:eastAsia="zh-CN"/>
        </w:rPr>
        <w:drawing>
          <wp:anchor distT="0" distB="0" distL="114300" distR="114300" simplePos="0" relativeHeight="251666432" behindDoc="0" locked="0" layoutInCell="1" allowOverlap="1">
            <wp:simplePos x="0" y="0"/>
            <wp:positionH relativeFrom="column">
              <wp:posOffset>600075</wp:posOffset>
            </wp:positionH>
            <wp:positionV relativeFrom="page">
              <wp:posOffset>1560195</wp:posOffset>
            </wp:positionV>
            <wp:extent cx="4432300" cy="2122805"/>
            <wp:effectExtent l="4445" t="4445" r="8255" b="6350"/>
            <wp:wrapTopAndBottom/>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宋体" w:hAnsi="宋体" w:eastAsia="方正仿宋简体" w:cs="方正仿宋简体"/>
          <w:color w:val="auto"/>
          <w:sz w:val="32"/>
          <w:szCs w:val="32"/>
          <w:highlight w:val="none"/>
          <w:lang w:eastAsia="zh-CN"/>
        </w:rPr>
        <w:t>（图2：收入决算结构图）</w:t>
      </w:r>
    </w:p>
    <w:p w14:paraId="01422DF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26" w:name="_Toc15377207"/>
      <w:bookmarkStart w:id="27" w:name="_Toc15396605"/>
      <w:bookmarkStart w:id="28" w:name="_Toc31522"/>
      <w:r>
        <w:rPr>
          <w:rFonts w:hint="eastAsia" w:ascii="宋体" w:hAnsi="宋体" w:eastAsia="方正黑体简体" w:cs="方正黑体简体"/>
          <w:b w:val="0"/>
          <w:bCs/>
          <w:color w:val="auto"/>
          <w:kern w:val="2"/>
          <w:sz w:val="32"/>
          <w:szCs w:val="32"/>
          <w:lang w:val="en-US" w:eastAsia="zh-CN" w:bidi="ar-SA"/>
        </w:rPr>
        <w:t>三、支出决算情况说明</w:t>
      </w:r>
      <w:bookmarkEnd w:id="26"/>
      <w:bookmarkEnd w:id="27"/>
      <w:bookmarkEnd w:id="28"/>
    </w:p>
    <w:p w14:paraId="0F591EB5">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eastAsia="zh-CN"/>
        </w:rPr>
      </w:pPr>
      <w:r>
        <w:rPr>
          <w:rFonts w:hint="eastAsia" w:ascii="宋体" w:hAnsi="宋体" w:eastAsia="方正仿宋简体" w:cs="方正仿宋简体"/>
          <w:color w:val="auto"/>
          <w:sz w:val="32"/>
          <w:szCs w:val="32"/>
          <w:highlight w:val="none"/>
          <w:lang w:eastAsia="zh-CN"/>
        </w:rPr>
        <w:t>2024年度本年支出合计</w:t>
      </w:r>
      <w:r>
        <w:rPr>
          <w:rFonts w:hint="eastAsia" w:ascii="宋体" w:hAnsi="宋体" w:eastAsia="方正仿宋简体" w:cs="方正仿宋简体"/>
          <w:color w:val="auto"/>
          <w:sz w:val="32"/>
          <w:szCs w:val="32"/>
          <w:highlight w:val="none"/>
          <w:lang w:val="en-US" w:eastAsia="zh-CN"/>
        </w:rPr>
        <w:t>64.48</w:t>
      </w:r>
      <w:r>
        <w:rPr>
          <w:rFonts w:hint="eastAsia" w:ascii="宋体" w:hAnsi="宋体" w:eastAsia="方正仿宋简体" w:cs="方正仿宋简体"/>
          <w:color w:val="auto"/>
          <w:sz w:val="32"/>
          <w:szCs w:val="32"/>
          <w:highlight w:val="none"/>
          <w:lang w:eastAsia="zh-CN"/>
        </w:rPr>
        <w:t>万元，其中：项目支出</w:t>
      </w:r>
      <w:r>
        <w:rPr>
          <w:rFonts w:hint="eastAsia" w:ascii="宋体" w:hAnsi="宋体" w:eastAsia="方正仿宋简体" w:cs="方正仿宋简体"/>
          <w:color w:val="auto"/>
          <w:sz w:val="32"/>
          <w:szCs w:val="32"/>
          <w:highlight w:val="none"/>
          <w:lang w:val="en-US" w:eastAsia="zh-CN"/>
        </w:rPr>
        <w:t>64.48</w:t>
      </w:r>
      <w:r>
        <w:rPr>
          <w:rFonts w:hint="eastAsia" w:ascii="宋体" w:hAnsi="宋体" w:eastAsia="方正仿宋简体" w:cs="方正仿宋简体"/>
          <w:color w:val="auto"/>
          <w:sz w:val="32"/>
          <w:szCs w:val="32"/>
          <w:highlight w:val="none"/>
          <w:lang w:eastAsia="zh-CN"/>
        </w:rPr>
        <w:t>万元，占</w:t>
      </w:r>
      <w:r>
        <w:rPr>
          <w:rFonts w:hint="eastAsia" w:ascii="宋体" w:hAnsi="宋体" w:eastAsia="方正仿宋简体" w:cs="方正仿宋简体"/>
          <w:color w:val="auto"/>
          <w:sz w:val="32"/>
          <w:szCs w:val="32"/>
          <w:highlight w:val="none"/>
          <w:lang w:val="en-US" w:eastAsia="zh-CN"/>
        </w:rPr>
        <w:t>100</w:t>
      </w:r>
      <w:r>
        <w:rPr>
          <w:rFonts w:hint="eastAsia" w:ascii="宋体" w:hAnsi="宋体" w:eastAsia="方正仿宋简体" w:cs="方正仿宋简体"/>
          <w:color w:val="auto"/>
          <w:sz w:val="32"/>
          <w:szCs w:val="32"/>
          <w:highlight w:val="none"/>
          <w:lang w:eastAsia="zh-CN"/>
        </w:rPr>
        <w:t>%。</w:t>
      </w:r>
    </w:p>
    <w:p w14:paraId="2C26A75F">
      <w:pPr>
        <w:pageBreakBefore w:val="0"/>
        <w:kinsoku/>
        <w:wordWrap/>
        <w:overflowPunct/>
        <w:topLinePunct w:val="0"/>
        <w:autoSpaceDE/>
        <w:autoSpaceDN/>
        <w:bidi w:val="0"/>
        <w:adjustRightInd/>
        <w:snapToGrid/>
        <w:spacing w:line="580" w:lineRule="exact"/>
        <w:jc w:val="center"/>
        <w:textAlignment w:val="auto"/>
        <w:rPr>
          <w:rFonts w:hint="eastAsia" w:ascii="宋体" w:hAnsi="宋体" w:eastAsia="方正仿宋简体" w:cs="方正仿宋简体"/>
          <w:color w:val="auto"/>
          <w:sz w:val="32"/>
          <w:szCs w:val="32"/>
          <w:highlight w:val="none"/>
          <w:lang w:eastAsia="zh-CN"/>
        </w:rPr>
      </w:pPr>
      <w:r>
        <w:rPr>
          <w:rFonts w:hint="eastAsia" w:ascii="宋体" w:hAnsi="宋体" w:eastAsia="方正仿宋简体" w:cs="方正仿宋简体"/>
          <w:color w:val="auto"/>
          <w:sz w:val="32"/>
          <w:szCs w:val="32"/>
          <w:highlight w:val="none"/>
          <w:lang w:val="en-US" w:eastAsia="zh-CN"/>
        </w:rPr>
        <w:drawing>
          <wp:anchor distT="0" distB="0" distL="114300" distR="114300" simplePos="0" relativeHeight="251662336" behindDoc="0" locked="0" layoutInCell="1" allowOverlap="1">
            <wp:simplePos x="0" y="0"/>
            <wp:positionH relativeFrom="column">
              <wp:posOffset>601345</wp:posOffset>
            </wp:positionH>
            <wp:positionV relativeFrom="page">
              <wp:posOffset>5276215</wp:posOffset>
            </wp:positionV>
            <wp:extent cx="4334510" cy="2644775"/>
            <wp:effectExtent l="4445" t="4445" r="17145" b="5080"/>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宋体" w:hAnsi="宋体" w:eastAsia="方正仿宋简体" w:cs="方正仿宋简体"/>
          <w:color w:val="auto"/>
          <w:sz w:val="32"/>
          <w:szCs w:val="32"/>
          <w:highlight w:val="none"/>
          <w:lang w:eastAsia="zh-CN"/>
        </w:rPr>
        <w:t>（图3：支出决算结构图）</w:t>
      </w:r>
    </w:p>
    <w:p w14:paraId="38F209BC">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29" w:name="_Toc15239"/>
      <w:bookmarkStart w:id="30" w:name="_Toc15377208"/>
      <w:bookmarkStart w:id="31" w:name="_Toc15396606"/>
      <w:r>
        <w:rPr>
          <w:rFonts w:hint="eastAsia" w:ascii="宋体" w:hAnsi="宋体" w:eastAsia="方正黑体简体" w:cs="方正黑体简体"/>
          <w:b w:val="0"/>
          <w:bCs/>
          <w:color w:val="auto"/>
          <w:kern w:val="2"/>
          <w:sz w:val="32"/>
          <w:szCs w:val="32"/>
          <w:lang w:val="en-US" w:eastAsia="zh-CN" w:bidi="ar-SA"/>
        </w:rPr>
        <w:t>四、财政拨款收入支出决算总体情况说明</w:t>
      </w:r>
      <w:bookmarkEnd w:id="29"/>
      <w:bookmarkEnd w:id="30"/>
      <w:bookmarkEnd w:id="31"/>
    </w:p>
    <w:p w14:paraId="15768083">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2024年度财政拨款收入、支出总计均为64.48万元。与2023年度相比，财政拨款收入总计、支出总计各减少39.64万元，下</w:t>
      </w:r>
      <w:r>
        <w:rPr>
          <w:rFonts w:hint="eastAsia" w:ascii="宋体" w:hAnsi="宋体" w:eastAsia="方正仿宋简体" w:cs="方正仿宋简体"/>
          <w:color w:val="auto"/>
          <w:sz w:val="32"/>
          <w:szCs w:val="32"/>
          <w:highlight w:val="none"/>
          <w:lang w:val="en-US" w:eastAsia="zh-CN"/>
        </w:rPr>
        <w:drawing>
          <wp:anchor distT="0" distB="0" distL="114300" distR="114300" simplePos="0" relativeHeight="251663360" behindDoc="0" locked="0" layoutInCell="1" allowOverlap="1">
            <wp:simplePos x="0" y="0"/>
            <wp:positionH relativeFrom="column">
              <wp:posOffset>635000</wp:posOffset>
            </wp:positionH>
            <wp:positionV relativeFrom="page">
              <wp:posOffset>2714625</wp:posOffset>
            </wp:positionV>
            <wp:extent cx="4404995" cy="2442210"/>
            <wp:effectExtent l="4445" t="4445" r="10160" b="17145"/>
            <wp:wrapTopAndBottom/>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宋体" w:hAnsi="宋体" w:eastAsia="方正仿宋简体" w:cs="方正仿宋简体"/>
          <w:color w:val="auto"/>
          <w:sz w:val="32"/>
          <w:szCs w:val="32"/>
          <w:highlight w:val="none"/>
          <w:lang w:val="en-US" w:eastAsia="zh-CN"/>
        </w:rPr>
        <w:t>降38.07%。</w:t>
      </w:r>
      <w:r>
        <w:rPr>
          <w:rFonts w:hint="eastAsia" w:ascii="宋体" w:hAnsi="宋体" w:eastAsia="方正仿宋简体" w:cs="方正仿宋简体"/>
          <w:color w:val="auto"/>
          <w:sz w:val="32"/>
          <w:szCs w:val="32"/>
          <w:highlight w:val="none"/>
          <w:lang w:eastAsia="zh-CN"/>
        </w:rPr>
        <w:t>主要变动原因</w:t>
      </w:r>
      <w:r>
        <w:rPr>
          <w:rFonts w:hint="eastAsia" w:ascii="宋体" w:hAnsi="宋体" w:eastAsia="方正仿宋简体" w:cs="方正仿宋简体"/>
          <w:color w:val="auto"/>
          <w:sz w:val="32"/>
          <w:szCs w:val="32"/>
          <w:highlight w:val="none"/>
          <w:lang w:val="en-US" w:eastAsia="zh-CN"/>
        </w:rPr>
        <w:t>一</w:t>
      </w:r>
      <w:r>
        <w:rPr>
          <w:rFonts w:hint="eastAsia" w:ascii="宋体" w:hAnsi="宋体" w:eastAsia="方正仿宋简体" w:cs="方正仿宋简体"/>
          <w:color w:val="auto"/>
          <w:sz w:val="32"/>
          <w:szCs w:val="32"/>
          <w:highlight w:val="none"/>
          <w:lang w:eastAsia="zh-CN"/>
        </w:rPr>
        <w:t>是县财政严格控制项目经费预算；</w:t>
      </w:r>
      <w:r>
        <w:rPr>
          <w:rFonts w:hint="eastAsia" w:ascii="宋体" w:hAnsi="宋体" w:eastAsia="方正仿宋简体" w:cs="方正仿宋简体"/>
          <w:color w:val="auto"/>
          <w:sz w:val="32"/>
          <w:szCs w:val="32"/>
          <w:highlight w:val="none"/>
          <w:lang w:val="en-US" w:eastAsia="zh-CN"/>
        </w:rPr>
        <w:t>二是2024年用收回国库集中支付结余资金29.03万元支付县委巡察专项经费</w:t>
      </w:r>
      <w:r>
        <w:rPr>
          <w:rFonts w:hint="eastAsia" w:ascii="宋体" w:hAnsi="宋体" w:eastAsia="方正仿宋简体" w:cs="方正仿宋简体"/>
          <w:color w:val="auto"/>
          <w:sz w:val="32"/>
          <w:szCs w:val="32"/>
          <w:highlight w:val="none"/>
          <w:lang w:eastAsia="zh-CN"/>
        </w:rPr>
        <w:t>。</w:t>
      </w:r>
    </w:p>
    <w:p w14:paraId="4D0AFCC5">
      <w:pPr>
        <w:pageBreakBefore w:val="0"/>
        <w:kinsoku/>
        <w:wordWrap/>
        <w:overflowPunct/>
        <w:topLinePunct w:val="0"/>
        <w:autoSpaceDE/>
        <w:autoSpaceDN/>
        <w:bidi w:val="0"/>
        <w:adjustRightInd/>
        <w:snapToGrid/>
        <w:spacing w:line="580" w:lineRule="exact"/>
        <w:jc w:val="center"/>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（图4：财政拨款收、支决算总计变动情况）</w:t>
      </w:r>
    </w:p>
    <w:p w14:paraId="662D731B">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32" w:name="_Toc15377209"/>
      <w:bookmarkStart w:id="33" w:name="_Toc15396607"/>
      <w:bookmarkStart w:id="34" w:name="_Toc14158"/>
      <w:r>
        <w:rPr>
          <w:rFonts w:hint="eastAsia" w:ascii="宋体" w:hAnsi="宋体" w:eastAsia="方正黑体简体" w:cs="方正黑体简体"/>
          <w:b w:val="0"/>
          <w:bCs/>
          <w:color w:val="auto"/>
          <w:kern w:val="2"/>
          <w:sz w:val="32"/>
          <w:szCs w:val="32"/>
          <w:lang w:val="en-US" w:eastAsia="zh-CN" w:bidi="ar-SA"/>
        </w:rPr>
        <w:t>五、一般公共预算财政拨款支出决算情况说明</w:t>
      </w:r>
      <w:bookmarkEnd w:id="32"/>
      <w:bookmarkEnd w:id="33"/>
      <w:bookmarkEnd w:id="34"/>
    </w:p>
    <w:p w14:paraId="5180CFA6">
      <w:pPr>
        <w:pageBreakBefore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35" w:name="_Toc15377210"/>
      <w:r>
        <w:rPr>
          <w:rFonts w:hint="eastAsia" w:ascii="宋体" w:hAnsi="宋体" w:eastAsia="方正楷体简体" w:cs="方正楷体简体"/>
          <w:b/>
          <w:color w:val="auto"/>
          <w:sz w:val="32"/>
          <w:szCs w:val="32"/>
          <w:highlight w:val="none"/>
        </w:rPr>
        <w:t>（一）一般公共预算财政拨款支出决算总体情况</w:t>
      </w:r>
      <w:bookmarkEnd w:id="35"/>
    </w:p>
    <w:p w14:paraId="0734373C">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2024年度一般公共预算财政拨款支出64.48万元，占本年支出合计的100%。与2023年度相比，一般公共预算财政拨款支出减少39.64万元，下降38.07%。</w:t>
      </w:r>
      <w:r>
        <w:rPr>
          <w:rFonts w:hint="eastAsia" w:ascii="宋体" w:hAnsi="宋体" w:eastAsia="方正仿宋简体" w:cs="方正仿宋简体"/>
          <w:color w:val="auto"/>
          <w:sz w:val="32"/>
          <w:szCs w:val="32"/>
          <w:highlight w:val="none"/>
          <w:lang w:eastAsia="zh-CN"/>
        </w:rPr>
        <w:t>主要变动原因</w:t>
      </w:r>
      <w:r>
        <w:rPr>
          <w:rFonts w:hint="eastAsia" w:ascii="宋体" w:hAnsi="宋体" w:eastAsia="方正仿宋简体" w:cs="方正仿宋简体"/>
          <w:color w:val="auto"/>
          <w:sz w:val="32"/>
          <w:szCs w:val="32"/>
          <w:highlight w:val="none"/>
          <w:lang w:val="en-US" w:eastAsia="zh-CN"/>
        </w:rPr>
        <w:t>一</w:t>
      </w:r>
      <w:r>
        <w:rPr>
          <w:rFonts w:hint="eastAsia" w:ascii="宋体" w:hAnsi="宋体" w:eastAsia="方正仿宋简体" w:cs="方正仿宋简体"/>
          <w:color w:val="auto"/>
          <w:sz w:val="32"/>
          <w:szCs w:val="32"/>
          <w:highlight w:val="none"/>
          <w:lang w:eastAsia="zh-CN"/>
        </w:rPr>
        <w:t>是县财政严格控制项目经费预算；</w:t>
      </w:r>
      <w:r>
        <w:rPr>
          <w:rFonts w:hint="eastAsia" w:ascii="宋体" w:hAnsi="宋体" w:eastAsia="方正仿宋简体" w:cs="方正仿宋简体"/>
          <w:color w:val="auto"/>
          <w:sz w:val="32"/>
          <w:szCs w:val="32"/>
          <w:highlight w:val="none"/>
          <w:lang w:val="en-US" w:eastAsia="zh-CN"/>
        </w:rPr>
        <w:t>二是2024年用收回国库集中支付结余资金29.03万元支付县委巡察专项经费</w:t>
      </w:r>
      <w:r>
        <w:rPr>
          <w:rFonts w:hint="eastAsia" w:ascii="宋体" w:hAnsi="宋体" w:eastAsia="方正仿宋简体" w:cs="方正仿宋简体"/>
          <w:color w:val="auto"/>
          <w:sz w:val="32"/>
          <w:szCs w:val="32"/>
          <w:highlight w:val="none"/>
          <w:lang w:eastAsia="zh-CN"/>
        </w:rPr>
        <w:t>。</w:t>
      </w:r>
    </w:p>
    <w:p w14:paraId="6BA290FE">
      <w:pPr>
        <w:pageBreakBefore w:val="0"/>
        <w:kinsoku/>
        <w:wordWrap/>
        <w:overflowPunct/>
        <w:topLinePunct w:val="0"/>
        <w:autoSpaceDE/>
        <w:autoSpaceDN/>
        <w:bidi w:val="0"/>
        <w:adjustRightInd/>
        <w:snapToGrid/>
        <w:spacing w:line="580"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p>
    <w:p w14:paraId="274DDA72">
      <w:pPr>
        <w:pageBreakBefore w:val="0"/>
        <w:kinsoku/>
        <w:wordWrap/>
        <w:overflowPunct/>
        <w:topLinePunct w:val="0"/>
        <w:autoSpaceDE/>
        <w:autoSpaceDN/>
        <w:bidi w:val="0"/>
        <w:adjustRightInd/>
        <w:snapToGrid/>
        <w:spacing w:line="580"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p>
    <w:p w14:paraId="554241EE">
      <w:pPr>
        <w:pageBreakBefore w:val="0"/>
        <w:kinsoku/>
        <w:wordWrap/>
        <w:overflowPunct/>
        <w:topLinePunct w:val="0"/>
        <w:autoSpaceDE/>
        <w:autoSpaceDN/>
        <w:bidi w:val="0"/>
        <w:adjustRightInd/>
        <w:snapToGrid/>
        <w:spacing w:line="580"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p>
    <w:p w14:paraId="26C68051">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drawing>
          <wp:anchor distT="0" distB="0" distL="114300" distR="114300" simplePos="0" relativeHeight="251665408" behindDoc="0" locked="0" layoutInCell="1" allowOverlap="1">
            <wp:simplePos x="0" y="0"/>
            <wp:positionH relativeFrom="column">
              <wp:posOffset>725805</wp:posOffset>
            </wp:positionH>
            <wp:positionV relativeFrom="page">
              <wp:posOffset>1485900</wp:posOffset>
            </wp:positionV>
            <wp:extent cx="4179570" cy="2198370"/>
            <wp:effectExtent l="4445" t="4445" r="6985" b="6985"/>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宋体" w:hAnsi="宋体" w:eastAsia="方正仿宋简体" w:cs="方正仿宋简体"/>
          <w:color w:val="auto"/>
          <w:sz w:val="32"/>
          <w:szCs w:val="32"/>
          <w:highlight w:val="none"/>
          <w:lang w:val="en-US" w:eastAsia="zh-CN"/>
        </w:rPr>
        <w:t>（图5：一般公共预算财政拨款支出决算变动情况）</w:t>
      </w:r>
    </w:p>
    <w:p w14:paraId="516ACF9D">
      <w:pPr>
        <w:pageBreakBefore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36" w:name="_Toc15377211"/>
      <w:r>
        <w:rPr>
          <w:rFonts w:hint="eastAsia" w:ascii="宋体" w:hAnsi="宋体" w:eastAsia="方正楷体简体" w:cs="方正楷体简体"/>
          <w:b/>
          <w:color w:val="auto"/>
          <w:sz w:val="32"/>
          <w:szCs w:val="32"/>
          <w:highlight w:val="none"/>
        </w:rPr>
        <w:t>（二）一般公共预算财政拨款支出决算结构情况</w:t>
      </w:r>
      <w:bookmarkEnd w:id="36"/>
    </w:p>
    <w:p w14:paraId="2F97714B">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2024年度一般公共预算财政拨款支出64.48万元，主要用于以下方面：一般公共服务支出64.48万元，占100%。</w:t>
      </w:r>
    </w:p>
    <w:p w14:paraId="72812437">
      <w:pPr>
        <w:pageBreakBefore w:val="0"/>
        <w:kinsoku/>
        <w:wordWrap/>
        <w:overflowPunct/>
        <w:topLinePunct w:val="0"/>
        <w:autoSpaceDE/>
        <w:autoSpaceDN/>
        <w:bidi w:val="0"/>
        <w:adjustRightInd/>
        <w:snapToGrid/>
        <w:spacing w:line="580" w:lineRule="exact"/>
        <w:jc w:val="center"/>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drawing>
          <wp:anchor distT="0" distB="0" distL="114300" distR="114300" simplePos="0" relativeHeight="251664384" behindDoc="0" locked="0" layoutInCell="1" allowOverlap="1">
            <wp:simplePos x="0" y="0"/>
            <wp:positionH relativeFrom="column">
              <wp:posOffset>650875</wp:posOffset>
            </wp:positionH>
            <wp:positionV relativeFrom="page">
              <wp:posOffset>5266055</wp:posOffset>
            </wp:positionV>
            <wp:extent cx="4319905" cy="2339975"/>
            <wp:effectExtent l="4445" t="4445" r="6350" b="508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宋体" w:hAnsi="宋体" w:eastAsia="方正仿宋简体" w:cs="方正仿宋简体"/>
          <w:color w:val="auto"/>
          <w:sz w:val="32"/>
          <w:szCs w:val="32"/>
          <w:highlight w:val="none"/>
          <w:lang w:val="en-US" w:eastAsia="zh-CN"/>
        </w:rPr>
        <w:t>（图6：一般公共预算财政拨款支出决算结构）</w:t>
      </w:r>
    </w:p>
    <w:p w14:paraId="776BDA8C">
      <w:pPr>
        <w:pageBreakBefore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37" w:name="_Toc15377212"/>
      <w:r>
        <w:rPr>
          <w:rFonts w:hint="eastAsia" w:ascii="宋体" w:hAnsi="宋体" w:eastAsia="方正楷体简体" w:cs="方正楷体简体"/>
          <w:b/>
          <w:color w:val="auto"/>
          <w:sz w:val="32"/>
          <w:szCs w:val="32"/>
          <w:highlight w:val="none"/>
        </w:rPr>
        <w:t>（三）一般公共预算财政拨款支出决算具体情况</w:t>
      </w:r>
      <w:bookmarkEnd w:id="37"/>
    </w:p>
    <w:p w14:paraId="6121948E">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bookmarkStart w:id="38" w:name="_Toc15378460"/>
      <w:bookmarkStart w:id="39" w:name="_Toc15377444"/>
      <w:bookmarkStart w:id="40" w:name="_Toc15377213"/>
      <w:r>
        <w:rPr>
          <w:rFonts w:hint="eastAsia" w:ascii="宋体" w:hAnsi="宋体" w:eastAsia="方正仿宋简体" w:cs="方正仿宋简体"/>
          <w:color w:val="auto"/>
          <w:sz w:val="32"/>
          <w:szCs w:val="32"/>
          <w:highlight w:val="none"/>
          <w:lang w:val="en-US" w:eastAsia="zh-CN"/>
        </w:rPr>
        <w:t>2024年度一般公共预算财政拨款支出决算数为64.48，完成预算100%。其中：</w:t>
      </w:r>
      <w:bookmarkEnd w:id="38"/>
      <w:bookmarkEnd w:id="39"/>
      <w:bookmarkEnd w:id="40"/>
    </w:p>
    <w:p w14:paraId="0E43DC30">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一般公共服务支出（类）纪检监察事务（款）一般行政管理事务（项）：支出决算为64.48万元，完成预算100%。</w:t>
      </w:r>
    </w:p>
    <w:p w14:paraId="36756884">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41" w:name="_Toc12488"/>
      <w:bookmarkStart w:id="42" w:name="_Toc15377214"/>
      <w:bookmarkStart w:id="43" w:name="_Toc15396608"/>
      <w:r>
        <w:rPr>
          <w:rFonts w:hint="eastAsia" w:ascii="宋体" w:hAnsi="宋体" w:eastAsia="方正黑体简体" w:cs="方正黑体简体"/>
          <w:b w:val="0"/>
          <w:bCs/>
          <w:color w:val="auto"/>
          <w:kern w:val="2"/>
          <w:sz w:val="32"/>
          <w:szCs w:val="32"/>
          <w:lang w:val="en-US" w:eastAsia="zh-CN" w:bidi="ar-SA"/>
        </w:rPr>
        <w:t>六、一般公共预算财政拨款基本支出决算情况说明</w:t>
      </w:r>
      <w:bookmarkEnd w:id="41"/>
      <w:bookmarkEnd w:id="42"/>
      <w:bookmarkEnd w:id="43"/>
      <w:r>
        <w:rPr>
          <w:rFonts w:hint="eastAsia" w:ascii="宋体" w:hAnsi="宋体" w:eastAsia="方正黑体简体" w:cs="方正黑体简体"/>
          <w:b w:val="0"/>
          <w:bCs/>
          <w:color w:val="auto"/>
          <w:kern w:val="2"/>
          <w:sz w:val="32"/>
          <w:szCs w:val="32"/>
          <w:lang w:val="en-US" w:eastAsia="zh-CN" w:bidi="ar-SA"/>
        </w:rPr>
        <w:tab/>
      </w:r>
    </w:p>
    <w:p w14:paraId="299CFDF0">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2024年度一般公共预算财政拨款基本支出0万元，主要原因: 县委巡察办作为县委工作部门，设在县纪委，人员经费和日常公用经费等基本支出由县纪委保障。</w:t>
      </w:r>
    </w:p>
    <w:p w14:paraId="1D1C916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44" w:name="_Toc21210"/>
      <w:bookmarkStart w:id="45" w:name="_Toc15396609"/>
      <w:bookmarkStart w:id="46" w:name="_Toc15377215"/>
      <w:r>
        <w:rPr>
          <w:rFonts w:hint="eastAsia" w:ascii="宋体" w:hAnsi="宋体" w:eastAsia="方正黑体简体" w:cs="方正黑体简体"/>
          <w:b w:val="0"/>
          <w:bCs/>
          <w:color w:val="auto"/>
          <w:kern w:val="2"/>
          <w:sz w:val="32"/>
          <w:szCs w:val="32"/>
          <w:lang w:val="en-US" w:eastAsia="zh-CN" w:bidi="ar-SA"/>
        </w:rPr>
        <w:t>七、财政拨款“三公”经费支出决算情况说明</w:t>
      </w:r>
      <w:bookmarkEnd w:id="44"/>
      <w:bookmarkEnd w:id="45"/>
      <w:bookmarkEnd w:id="46"/>
    </w:p>
    <w:p w14:paraId="51FD4765">
      <w:pPr>
        <w:pageBreakBefore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47" w:name="_Toc15377216"/>
      <w:r>
        <w:rPr>
          <w:rFonts w:hint="eastAsia" w:ascii="宋体" w:hAnsi="宋体" w:eastAsia="方正楷体简体" w:cs="方正楷体简体"/>
          <w:b/>
          <w:color w:val="auto"/>
          <w:sz w:val="32"/>
          <w:szCs w:val="32"/>
          <w:highlight w:val="none"/>
        </w:rPr>
        <w:t>（一）“三公”经费财政拨款支出决算总体情况说明</w:t>
      </w:r>
      <w:bookmarkEnd w:id="47"/>
    </w:p>
    <w:p w14:paraId="1A28561B">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2024年度“三公”经费财政拨款支出决算为0万元。</w:t>
      </w:r>
    </w:p>
    <w:p w14:paraId="1133890A">
      <w:pPr>
        <w:pageBreakBefore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48" w:name="_Toc15377217"/>
      <w:r>
        <w:rPr>
          <w:rFonts w:hint="eastAsia" w:ascii="宋体" w:hAnsi="宋体" w:eastAsia="方正楷体简体" w:cs="方正楷体简体"/>
          <w:b/>
          <w:color w:val="auto"/>
          <w:sz w:val="32"/>
          <w:szCs w:val="32"/>
          <w:highlight w:val="none"/>
        </w:rPr>
        <w:t>（二）“三公”经费财政拨款支出决算具体情况说明</w:t>
      </w:r>
      <w:bookmarkEnd w:id="48"/>
    </w:p>
    <w:p w14:paraId="2965949A">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2024年度“三公”经费财政拨款支出决算中，因公出国（境）费支出决算0万元，占0%；公务用车购置及运行维护费支出决算0万元，占0%；公务接待费支出决算0万元，占0%。具体情况如下：</w:t>
      </w:r>
    </w:p>
    <w:p w14:paraId="48B2AE26">
      <w:pPr>
        <w:pageBreakBefore w:val="0"/>
        <w:kinsoku/>
        <w:wordWrap/>
        <w:overflowPunct/>
        <w:topLinePunct w:val="0"/>
        <w:autoSpaceDE/>
        <w:autoSpaceDN/>
        <w:bidi w:val="0"/>
        <w:adjustRightInd/>
        <w:snapToGrid/>
        <w:spacing w:line="580" w:lineRule="exact"/>
        <w:ind w:firstLine="643"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b/>
          <w:bCs/>
          <w:color w:val="auto"/>
          <w:sz w:val="32"/>
          <w:szCs w:val="32"/>
          <w:highlight w:val="none"/>
          <w:lang w:val="en-US" w:eastAsia="zh-CN"/>
        </w:rPr>
        <w:t>1.因公出国（境）经费支出0万元，完成预算0%。</w:t>
      </w:r>
      <w:r>
        <w:rPr>
          <w:rFonts w:hint="eastAsia" w:ascii="宋体" w:hAnsi="宋体" w:eastAsia="方正仿宋简体" w:cs="方正仿宋简体"/>
          <w:color w:val="auto"/>
          <w:sz w:val="32"/>
          <w:szCs w:val="32"/>
          <w:highlight w:val="none"/>
          <w:lang w:val="en-US" w:eastAsia="zh-CN"/>
        </w:rPr>
        <w:t>全年安排因公出国（境）团组0次，出国（境）0人。因公出国（境）支出决算比2023年增加/减少0万元，增长/下降0%。</w:t>
      </w:r>
    </w:p>
    <w:p w14:paraId="349A519D">
      <w:pPr>
        <w:pageBreakBefore w:val="0"/>
        <w:kinsoku/>
        <w:wordWrap/>
        <w:overflowPunct/>
        <w:topLinePunct w:val="0"/>
        <w:autoSpaceDE/>
        <w:autoSpaceDN/>
        <w:bidi w:val="0"/>
        <w:adjustRightInd/>
        <w:snapToGrid/>
        <w:spacing w:line="580" w:lineRule="exact"/>
        <w:ind w:firstLine="643"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b/>
          <w:bCs/>
          <w:color w:val="auto"/>
          <w:sz w:val="32"/>
          <w:szCs w:val="32"/>
          <w:highlight w:val="none"/>
          <w:lang w:val="en-US" w:eastAsia="zh-CN"/>
        </w:rPr>
        <w:t>2.公务用车购置及运行维护费支出0万元，完成预算0%。</w:t>
      </w:r>
      <w:r>
        <w:rPr>
          <w:rFonts w:hint="eastAsia" w:ascii="宋体" w:hAnsi="宋体" w:eastAsia="方正仿宋简体" w:cs="方正仿宋简体"/>
          <w:color w:val="auto"/>
          <w:sz w:val="32"/>
          <w:szCs w:val="32"/>
          <w:highlight w:val="none"/>
          <w:lang w:val="en-US" w:eastAsia="zh-CN"/>
        </w:rPr>
        <w:t>公务用车购置及运行维护费支出决算比2023年度增加/减少0万元，增长/下降0%。主要原因是县委巡察办作为县委工作部门， 设在县纪委，公务用车由县纪委保障。</w:t>
      </w:r>
    </w:p>
    <w:p w14:paraId="3BD28B86">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其中：公务用车购置支出0万元。全年按规定更新购置公务用车0辆，其中：轿车0辆、金额0万元，越野车0辆、金额0万元，载客汽车0辆、金额0万元。截至2024年12月31日，单位共有公务用车0辆，其中：轿车0辆、越野车0辆、载客汽车0辆。</w:t>
      </w:r>
    </w:p>
    <w:p w14:paraId="0A2922AE">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公务用车运行维护费支出0万元。</w:t>
      </w:r>
    </w:p>
    <w:p w14:paraId="53CDFE7D">
      <w:pPr>
        <w:pageBreakBefore w:val="0"/>
        <w:kinsoku/>
        <w:wordWrap/>
        <w:overflowPunct/>
        <w:topLinePunct w:val="0"/>
        <w:autoSpaceDE/>
        <w:autoSpaceDN/>
        <w:bidi w:val="0"/>
        <w:adjustRightInd/>
        <w:snapToGrid/>
        <w:spacing w:line="580" w:lineRule="exact"/>
        <w:ind w:firstLine="643"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b/>
          <w:bCs/>
          <w:color w:val="auto"/>
          <w:sz w:val="32"/>
          <w:szCs w:val="32"/>
          <w:highlight w:val="none"/>
          <w:lang w:val="en-US" w:eastAsia="zh-CN"/>
        </w:rPr>
        <w:t>3.公务接待费支出0万元，完成预算0%。</w:t>
      </w:r>
      <w:r>
        <w:rPr>
          <w:rFonts w:hint="eastAsia" w:ascii="宋体" w:hAnsi="宋体" w:eastAsia="方正仿宋简体" w:cs="方正仿宋简体"/>
          <w:color w:val="auto"/>
          <w:sz w:val="32"/>
          <w:szCs w:val="32"/>
          <w:highlight w:val="none"/>
          <w:lang w:val="en-US" w:eastAsia="zh-CN"/>
        </w:rPr>
        <w:t>公务接待费支出决算比2023年度增加/减少0万元，增长/下降0%。</w:t>
      </w:r>
    </w:p>
    <w:p w14:paraId="54FC09F1">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国内公务接待支出0万元，国内公务接待0批次，0人次（不包括陪同人员），共计支出0万元。</w:t>
      </w:r>
    </w:p>
    <w:p w14:paraId="292A6602">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外事接待支出0万元，外事接待0批次，0人次（不包括陪同人员），共计支出0万元。</w:t>
      </w:r>
      <w:bookmarkStart w:id="49" w:name="_Toc15377218"/>
      <w:bookmarkStart w:id="50" w:name="_Toc15396610"/>
    </w:p>
    <w:p w14:paraId="183536E7">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51" w:name="_Toc601"/>
      <w:r>
        <w:rPr>
          <w:rFonts w:hint="eastAsia" w:ascii="宋体" w:hAnsi="宋体" w:eastAsia="方正黑体简体" w:cs="方正黑体简体"/>
          <w:b w:val="0"/>
          <w:bCs/>
          <w:color w:val="auto"/>
          <w:kern w:val="2"/>
          <w:sz w:val="32"/>
          <w:szCs w:val="32"/>
          <w:lang w:val="en-US" w:eastAsia="zh-CN" w:bidi="ar-SA"/>
        </w:rPr>
        <w:t>八、政府性基金预算支出决算情况说明</w:t>
      </w:r>
      <w:bookmarkEnd w:id="49"/>
      <w:bookmarkEnd w:id="50"/>
      <w:bookmarkEnd w:id="51"/>
    </w:p>
    <w:p w14:paraId="0E6EEEF2">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2024年度政府性基金预算财政拨款支出0万元。</w:t>
      </w:r>
    </w:p>
    <w:p w14:paraId="532A0134">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52" w:name="_Toc15377219"/>
      <w:bookmarkStart w:id="53" w:name="_Toc15396611"/>
      <w:bookmarkStart w:id="54" w:name="_Toc12078"/>
      <w:r>
        <w:rPr>
          <w:rFonts w:hint="eastAsia" w:ascii="宋体" w:hAnsi="宋体" w:eastAsia="方正黑体简体" w:cs="方正黑体简体"/>
          <w:b w:val="0"/>
          <w:bCs/>
          <w:color w:val="auto"/>
          <w:kern w:val="2"/>
          <w:sz w:val="32"/>
          <w:szCs w:val="32"/>
          <w:lang w:val="en-US" w:eastAsia="zh-CN" w:bidi="ar-SA"/>
        </w:rPr>
        <w:t>九、国有资本经营预算支出决算情况说明</w:t>
      </w:r>
      <w:bookmarkEnd w:id="52"/>
      <w:bookmarkEnd w:id="53"/>
      <w:bookmarkEnd w:id="54"/>
    </w:p>
    <w:p w14:paraId="0153D35A">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2024年度国有资本经营预算财政拨款支出0万元。</w:t>
      </w:r>
    </w:p>
    <w:p w14:paraId="1C1D89A9">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55" w:name="_Toc16740"/>
      <w:bookmarkStart w:id="56" w:name="_Toc15377221"/>
      <w:bookmarkStart w:id="57" w:name="_Toc15396612"/>
      <w:r>
        <w:rPr>
          <w:rFonts w:hint="eastAsia" w:ascii="宋体" w:hAnsi="宋体" w:eastAsia="方正黑体简体" w:cs="方正黑体简体"/>
          <w:b w:val="0"/>
          <w:bCs/>
          <w:color w:val="auto"/>
          <w:kern w:val="2"/>
          <w:sz w:val="32"/>
          <w:szCs w:val="32"/>
          <w:lang w:val="en-US" w:eastAsia="zh-CN" w:bidi="ar-SA"/>
        </w:rPr>
        <w:t>十、其他重要事项的情况说明</w:t>
      </w:r>
      <w:bookmarkEnd w:id="55"/>
      <w:bookmarkEnd w:id="56"/>
      <w:bookmarkEnd w:id="57"/>
    </w:p>
    <w:p w14:paraId="2751E74D">
      <w:pPr>
        <w:pageBreakBefore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58" w:name="_Toc15377222"/>
      <w:r>
        <w:rPr>
          <w:rFonts w:hint="eastAsia" w:ascii="宋体" w:hAnsi="宋体" w:eastAsia="方正楷体简体" w:cs="方正楷体简体"/>
          <w:b/>
          <w:color w:val="auto"/>
          <w:sz w:val="32"/>
          <w:szCs w:val="32"/>
          <w:highlight w:val="none"/>
        </w:rPr>
        <w:t>（一）机关运行经费支出情况</w:t>
      </w:r>
      <w:bookmarkEnd w:id="58"/>
    </w:p>
    <w:p w14:paraId="5395443D">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2024年度，中国共产党安岳县委员会巡察工作领导小组办公室机关运行经费支出0万元，比2023年度增加/减少0万元，增长/下降0%。</w:t>
      </w:r>
    </w:p>
    <w:p w14:paraId="1B6F2FDB">
      <w:pPr>
        <w:pageBreakBefore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59" w:name="_Toc15377223"/>
      <w:r>
        <w:rPr>
          <w:rFonts w:hint="eastAsia" w:ascii="宋体" w:hAnsi="宋体" w:eastAsia="方正楷体简体" w:cs="方正楷体简体"/>
          <w:b/>
          <w:color w:val="auto"/>
          <w:sz w:val="32"/>
          <w:szCs w:val="32"/>
          <w:highlight w:val="none"/>
        </w:rPr>
        <w:t>（二）政府采购支出情况</w:t>
      </w:r>
      <w:bookmarkEnd w:id="59"/>
    </w:p>
    <w:p w14:paraId="74C8F16F">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2024年度，中国共产党安岳县委员会巡察工作领导小组办公室政府采购支出总额0万元，其中：政府采购货物支出0万元、政府采购工程支出0万元、政府采购服务支出0万元。授予中小企业合同金额0万元，占政府采购支出总额的0%，其中：授予小微企业合同金额0万元，占政府采购支出总额的0%。</w:t>
      </w:r>
    </w:p>
    <w:p w14:paraId="1D49F58D">
      <w:pPr>
        <w:pageBreakBefore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60" w:name="_Toc15377224"/>
      <w:r>
        <w:rPr>
          <w:rFonts w:hint="eastAsia" w:ascii="宋体" w:hAnsi="宋体" w:eastAsia="方正楷体简体" w:cs="方正楷体简体"/>
          <w:b/>
          <w:color w:val="auto"/>
          <w:sz w:val="32"/>
          <w:szCs w:val="32"/>
          <w:highlight w:val="none"/>
        </w:rPr>
        <w:t>（三）国有资产占有使用情况</w:t>
      </w:r>
      <w:bookmarkEnd w:id="60"/>
    </w:p>
    <w:p w14:paraId="22322EE7">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截至2024年12月31日，中国共产党安岳县委员会巡察工作领导小组办公室共有车辆0辆，其中：主要负责人用车0辆、机要通信用车0辆、应急保障用车0辆、其他用车0辆。单价100万元（含）以上设备（不含车辆）0台（套）。</w:t>
      </w:r>
    </w:p>
    <w:p w14:paraId="12793AC1">
      <w:pPr>
        <w:pageBreakBefore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r>
        <w:rPr>
          <w:rFonts w:hint="eastAsia" w:ascii="宋体" w:hAnsi="宋体" w:eastAsia="方正楷体简体" w:cs="方正楷体简体"/>
          <w:b/>
          <w:color w:val="auto"/>
          <w:sz w:val="32"/>
          <w:szCs w:val="32"/>
          <w:highlight w:val="none"/>
        </w:rPr>
        <w:t>（四）预算绩效管理情况</w:t>
      </w:r>
    </w:p>
    <w:p w14:paraId="2AD1E227">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根据预算绩效管理要求，本单位在2024年度预算编制阶段，组织对县委巡察工作专项经费1个项目</w:t>
      </w:r>
      <w:r>
        <w:rPr>
          <w:rFonts w:hint="eastAsia" w:ascii="宋体" w:hAnsi="宋体" w:eastAsia="方正仿宋简体" w:cs="方正仿宋简体"/>
          <w:color w:val="auto"/>
          <w:sz w:val="32"/>
          <w:szCs w:val="32"/>
          <w:highlight w:val="none"/>
          <w:lang w:val="zh-CN" w:eastAsia="zh-CN"/>
        </w:rPr>
        <w:t>（巡察工作专项）</w:t>
      </w:r>
      <w:r>
        <w:rPr>
          <w:rFonts w:hint="eastAsia" w:ascii="宋体" w:hAnsi="宋体" w:eastAsia="方正仿宋简体" w:cs="方正仿宋简体"/>
          <w:color w:val="auto"/>
          <w:sz w:val="32"/>
          <w:szCs w:val="32"/>
          <w:highlight w:val="none"/>
          <w:lang w:val="en-US" w:eastAsia="zh-CN"/>
        </w:rPr>
        <w:t>编制了绩效目标，</w:t>
      </w:r>
      <w:r>
        <w:rPr>
          <w:rFonts w:hint="eastAsia" w:ascii="宋体" w:hAnsi="宋体" w:eastAsia="方正仿宋简体" w:cs="方正仿宋简体"/>
          <w:color w:val="auto"/>
          <w:sz w:val="32"/>
          <w:szCs w:val="32"/>
          <w:highlight w:val="none"/>
          <w:lang w:val="zh-CN" w:eastAsia="zh-CN"/>
        </w:rPr>
        <w:t>预算执行过程中，选取1个项目（巡察工作专项）开展绩效监控，</w:t>
      </w:r>
      <w:r>
        <w:rPr>
          <w:rFonts w:hint="eastAsia" w:ascii="宋体" w:hAnsi="宋体" w:eastAsia="方正仿宋简体" w:cs="方正仿宋简体"/>
          <w:color w:val="auto"/>
          <w:sz w:val="32"/>
          <w:szCs w:val="32"/>
          <w:highlight w:val="none"/>
          <w:lang w:val="en-US" w:eastAsia="zh-CN"/>
        </w:rPr>
        <w:t>组织对1个项目</w:t>
      </w:r>
      <w:r>
        <w:rPr>
          <w:rFonts w:hint="eastAsia" w:ascii="宋体" w:hAnsi="宋体" w:eastAsia="方正仿宋简体" w:cs="方正仿宋简体"/>
          <w:color w:val="auto"/>
          <w:sz w:val="32"/>
          <w:szCs w:val="32"/>
          <w:highlight w:val="none"/>
          <w:lang w:val="zh-CN" w:eastAsia="zh-CN"/>
        </w:rPr>
        <w:t>（巡察工作专项）</w:t>
      </w:r>
      <w:r>
        <w:rPr>
          <w:rFonts w:hint="eastAsia" w:ascii="宋体" w:hAnsi="宋体" w:eastAsia="方正仿宋简体" w:cs="方正仿宋简体"/>
          <w:color w:val="auto"/>
          <w:sz w:val="32"/>
          <w:szCs w:val="32"/>
          <w:highlight w:val="none"/>
          <w:lang w:val="en-US" w:eastAsia="zh-CN"/>
        </w:rPr>
        <w:t>开展绩效自评，绩效自评表详见第四部分附件。</w:t>
      </w:r>
    </w:p>
    <w:p w14:paraId="0D1EE8EE">
      <w:pPr>
        <w:pageBreakBefore w:val="0"/>
        <w:kinsoku/>
        <w:wordWrap/>
        <w:overflowPunct/>
        <w:topLinePunct w:val="0"/>
        <w:autoSpaceDE/>
        <w:autoSpaceDN/>
        <w:bidi w:val="0"/>
        <w:adjustRightInd/>
        <w:snapToGrid/>
        <w:spacing w:line="580"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p>
    <w:p w14:paraId="7EA97492">
      <w:pPr>
        <w:pageBreakBefore w:val="0"/>
        <w:numPr>
          <w:ilvl w:val="0"/>
          <w:numId w:val="0"/>
        </w:numPr>
        <w:kinsoku/>
        <w:wordWrap/>
        <w:overflowPunct/>
        <w:topLinePunct w:val="0"/>
        <w:autoSpaceDE/>
        <w:autoSpaceDN/>
        <w:bidi w:val="0"/>
        <w:adjustRightInd/>
        <w:snapToGrid/>
        <w:spacing w:line="580" w:lineRule="exact"/>
        <w:jc w:val="center"/>
        <w:textAlignment w:val="auto"/>
        <w:outlineLvl w:val="0"/>
        <w:rPr>
          <w:rFonts w:hint="eastAsia" w:ascii="Times New Roman" w:hAnsi="Times New Roman" w:eastAsia="黑体"/>
          <w:color w:val="auto"/>
          <w:sz w:val="44"/>
          <w:szCs w:val="44"/>
          <w:highlight w:val="none"/>
        </w:rPr>
      </w:pPr>
      <w:bookmarkStart w:id="61" w:name="_Toc15396613"/>
      <w:bookmarkStart w:id="62" w:name="_Toc15377225"/>
    </w:p>
    <w:p w14:paraId="529E89E1">
      <w:pPr>
        <w:pageBreakBefore w:val="0"/>
        <w:numPr>
          <w:ilvl w:val="0"/>
          <w:numId w:val="0"/>
        </w:numPr>
        <w:kinsoku/>
        <w:wordWrap/>
        <w:overflowPunct/>
        <w:topLinePunct w:val="0"/>
        <w:autoSpaceDE/>
        <w:autoSpaceDN/>
        <w:bidi w:val="0"/>
        <w:adjustRightInd/>
        <w:snapToGrid/>
        <w:spacing w:line="580" w:lineRule="exact"/>
        <w:jc w:val="center"/>
        <w:textAlignment w:val="auto"/>
        <w:outlineLvl w:val="0"/>
        <w:rPr>
          <w:rFonts w:hint="eastAsia" w:ascii="Times New Roman" w:hAnsi="Times New Roman" w:eastAsia="黑体"/>
          <w:color w:val="auto"/>
          <w:sz w:val="44"/>
          <w:szCs w:val="44"/>
          <w:highlight w:val="none"/>
        </w:rPr>
      </w:pPr>
    </w:p>
    <w:p w14:paraId="09C1E8F6">
      <w:pPr>
        <w:pageBreakBefore w:val="0"/>
        <w:numPr>
          <w:ilvl w:val="0"/>
          <w:numId w:val="0"/>
        </w:numPr>
        <w:kinsoku/>
        <w:wordWrap/>
        <w:overflowPunct/>
        <w:topLinePunct w:val="0"/>
        <w:autoSpaceDE/>
        <w:autoSpaceDN/>
        <w:bidi w:val="0"/>
        <w:adjustRightInd/>
        <w:snapToGrid/>
        <w:spacing w:line="580" w:lineRule="exact"/>
        <w:jc w:val="center"/>
        <w:textAlignment w:val="auto"/>
        <w:outlineLvl w:val="0"/>
        <w:rPr>
          <w:rFonts w:hint="eastAsia" w:ascii="Times New Roman" w:hAnsi="Times New Roman" w:eastAsia="黑体"/>
          <w:color w:val="auto"/>
          <w:sz w:val="44"/>
          <w:szCs w:val="44"/>
          <w:highlight w:val="none"/>
        </w:rPr>
      </w:pPr>
    </w:p>
    <w:p w14:paraId="16945F08">
      <w:pPr>
        <w:pageBreakBefore w:val="0"/>
        <w:numPr>
          <w:ilvl w:val="0"/>
          <w:numId w:val="0"/>
        </w:numPr>
        <w:kinsoku/>
        <w:wordWrap/>
        <w:overflowPunct/>
        <w:topLinePunct w:val="0"/>
        <w:autoSpaceDE/>
        <w:autoSpaceDN/>
        <w:bidi w:val="0"/>
        <w:adjustRightInd/>
        <w:snapToGrid/>
        <w:spacing w:line="580" w:lineRule="exact"/>
        <w:jc w:val="center"/>
        <w:textAlignment w:val="auto"/>
        <w:outlineLvl w:val="0"/>
        <w:rPr>
          <w:rFonts w:hint="eastAsia" w:ascii="Times New Roman" w:hAnsi="Times New Roman" w:eastAsia="黑体"/>
          <w:color w:val="auto"/>
          <w:sz w:val="44"/>
          <w:szCs w:val="44"/>
          <w:highlight w:val="none"/>
        </w:rPr>
      </w:pPr>
    </w:p>
    <w:p w14:paraId="4760CA14">
      <w:pPr>
        <w:pageBreakBefore w:val="0"/>
        <w:numPr>
          <w:ilvl w:val="0"/>
          <w:numId w:val="0"/>
        </w:numPr>
        <w:kinsoku/>
        <w:wordWrap/>
        <w:overflowPunct/>
        <w:topLinePunct w:val="0"/>
        <w:autoSpaceDE/>
        <w:autoSpaceDN/>
        <w:bidi w:val="0"/>
        <w:adjustRightInd/>
        <w:snapToGrid/>
        <w:spacing w:line="580" w:lineRule="exact"/>
        <w:jc w:val="center"/>
        <w:textAlignment w:val="auto"/>
        <w:outlineLvl w:val="0"/>
        <w:rPr>
          <w:rFonts w:hint="eastAsia" w:ascii="Times New Roman" w:hAnsi="Times New Roman" w:eastAsia="黑体"/>
          <w:color w:val="auto"/>
          <w:sz w:val="44"/>
          <w:szCs w:val="44"/>
          <w:highlight w:val="none"/>
        </w:rPr>
      </w:pPr>
    </w:p>
    <w:p w14:paraId="0B857586">
      <w:pPr>
        <w:pageBreakBefore w:val="0"/>
        <w:numPr>
          <w:ilvl w:val="0"/>
          <w:numId w:val="0"/>
        </w:numPr>
        <w:kinsoku/>
        <w:wordWrap/>
        <w:overflowPunct/>
        <w:topLinePunct w:val="0"/>
        <w:autoSpaceDE/>
        <w:autoSpaceDN/>
        <w:bidi w:val="0"/>
        <w:adjustRightInd/>
        <w:snapToGrid/>
        <w:spacing w:line="580" w:lineRule="exact"/>
        <w:jc w:val="center"/>
        <w:textAlignment w:val="auto"/>
        <w:outlineLvl w:val="0"/>
        <w:rPr>
          <w:rFonts w:hint="eastAsia" w:ascii="Times New Roman" w:hAnsi="Times New Roman" w:eastAsia="黑体"/>
          <w:color w:val="auto"/>
          <w:sz w:val="44"/>
          <w:szCs w:val="44"/>
          <w:highlight w:val="none"/>
        </w:rPr>
      </w:pPr>
    </w:p>
    <w:p w14:paraId="749C6C50">
      <w:pPr>
        <w:pageBreakBefore w:val="0"/>
        <w:kinsoku/>
        <w:wordWrap/>
        <w:overflowPunct/>
        <w:topLinePunct w:val="0"/>
        <w:autoSpaceDE/>
        <w:autoSpaceDN/>
        <w:bidi w:val="0"/>
        <w:adjustRightInd/>
        <w:snapToGrid/>
        <w:spacing w:line="580" w:lineRule="exact"/>
        <w:textAlignment w:val="auto"/>
        <w:rPr>
          <w:rFonts w:hint="eastAsia" w:ascii="Times New Roman" w:hAnsi="Times New Roman" w:eastAsia="黑体"/>
          <w:color w:val="auto"/>
          <w:sz w:val="44"/>
          <w:szCs w:val="44"/>
          <w:highlight w:val="none"/>
        </w:rPr>
      </w:pPr>
      <w:r>
        <w:rPr>
          <w:rFonts w:hint="eastAsia" w:ascii="Times New Roman" w:hAnsi="Times New Roman" w:eastAsia="黑体"/>
          <w:color w:val="auto"/>
          <w:sz w:val="44"/>
          <w:szCs w:val="44"/>
          <w:highlight w:val="none"/>
        </w:rPr>
        <w:br w:type="page"/>
      </w:r>
    </w:p>
    <w:p w14:paraId="09C64643">
      <w:pPr>
        <w:pStyle w:val="3"/>
        <w:keepNext/>
        <w:keepLines/>
        <w:pageBreakBefore w:val="0"/>
        <w:widowControl w:val="0"/>
        <w:numPr>
          <w:ilvl w:val="0"/>
          <w:numId w:val="0"/>
        </w:numPr>
        <w:kinsoku/>
        <w:wordWrap/>
        <w:overflowPunct/>
        <w:topLinePunct w:val="0"/>
        <w:autoSpaceDE/>
        <w:autoSpaceDN/>
        <w:bidi w:val="0"/>
        <w:adjustRightInd/>
        <w:snapToGrid/>
        <w:spacing w:before="0" w:after="0" w:line="660" w:lineRule="exact"/>
        <w:jc w:val="center"/>
        <w:textAlignment w:val="auto"/>
        <w:rPr>
          <w:rFonts w:hint="eastAsia" w:ascii="Times New Roman" w:hAnsi="Times New Roman" w:eastAsia="方正小标宋简体" w:cs="方正小标宋简体"/>
          <w:b w:val="0"/>
          <w:bCs w:val="0"/>
          <w:color w:val="auto"/>
          <w:kern w:val="44"/>
          <w:sz w:val="44"/>
          <w:szCs w:val="44"/>
          <w:lang w:val="en-US" w:eastAsia="zh-CN" w:bidi="ar-SA"/>
        </w:rPr>
      </w:pPr>
      <w:bookmarkStart w:id="63" w:name="_Toc8334"/>
      <w:r>
        <w:rPr>
          <w:rFonts w:hint="eastAsia" w:ascii="Times New Roman" w:hAnsi="Times New Roman" w:eastAsia="方正小标宋简体" w:cs="方正小标宋简体"/>
          <w:b w:val="0"/>
          <w:bCs w:val="0"/>
          <w:color w:val="auto"/>
          <w:kern w:val="44"/>
          <w:sz w:val="44"/>
          <w:szCs w:val="44"/>
          <w:lang w:val="en-US" w:eastAsia="zh-CN" w:bidi="ar-SA"/>
        </w:rPr>
        <w:t>第三部分  名词解释</w:t>
      </w:r>
      <w:bookmarkEnd w:id="61"/>
      <w:bookmarkEnd w:id="62"/>
      <w:bookmarkEnd w:id="63"/>
    </w:p>
    <w:p w14:paraId="56EB950D">
      <w:pPr>
        <w:pStyle w:val="3"/>
        <w:keepNext/>
        <w:keepLines/>
        <w:pageBreakBefore w:val="0"/>
        <w:widowControl w:val="0"/>
        <w:numPr>
          <w:ilvl w:val="0"/>
          <w:numId w:val="0"/>
        </w:numPr>
        <w:kinsoku/>
        <w:wordWrap/>
        <w:overflowPunct/>
        <w:topLinePunct w:val="0"/>
        <w:autoSpaceDE/>
        <w:autoSpaceDN/>
        <w:bidi w:val="0"/>
        <w:adjustRightInd/>
        <w:snapToGrid/>
        <w:spacing w:before="0" w:after="0" w:line="660" w:lineRule="exact"/>
        <w:jc w:val="center"/>
        <w:textAlignment w:val="auto"/>
        <w:rPr>
          <w:rFonts w:hint="eastAsia" w:ascii="Times New Roman" w:hAnsi="Times New Roman" w:eastAsia="方正小标宋简体" w:cs="方正小标宋简体"/>
          <w:b w:val="0"/>
          <w:bCs w:val="0"/>
          <w:color w:val="auto"/>
          <w:kern w:val="44"/>
          <w:sz w:val="44"/>
          <w:szCs w:val="44"/>
          <w:lang w:val="en-US" w:eastAsia="zh-CN" w:bidi="ar-SA"/>
        </w:rPr>
      </w:pPr>
    </w:p>
    <w:p w14:paraId="1783C610">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1.财政拨款收入：指单位从同级财政部门取得的财政预算资金。</w:t>
      </w:r>
    </w:p>
    <w:p w14:paraId="44AD06D2">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2.事业收入：指事业单位开展专业业务活动及辅助活动取得的收入。</w:t>
      </w:r>
    </w:p>
    <w:p w14:paraId="27DB2CA2">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3.经营收入：指事业单位在专业业务活动及其辅助活动之外开展非独立核算经营活动取得的收入。</w:t>
      </w:r>
    </w:p>
    <w:p w14:paraId="49DF86E7">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 xml:space="preserve">4.其他收入：指单位取得的除上述收入以外的各项收入。 </w:t>
      </w:r>
    </w:p>
    <w:p w14:paraId="30343191">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 xml:space="preserve">5.使用非财政拨款结余（含专用结余）：指事业单位使用以前年度积累的非财政拨款结余弥补当年收支差额的金额。 </w:t>
      </w:r>
    </w:p>
    <w:p w14:paraId="66588F2E">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 xml:space="preserve">6.年初结转和结余：指以前年度尚未完成、结转到本年按有关规定继续使用的资金。 </w:t>
      </w:r>
    </w:p>
    <w:p w14:paraId="4F155B1F">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7.结余分配：指事业单位按照会计制度规定缴纳的所得税、提取的专用结余以及转入非财政拨款结余的金额等。</w:t>
      </w:r>
    </w:p>
    <w:p w14:paraId="674F0F3C">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8.年末结转和结余：指单位按有关规定结转到下年或以后年度继续使用的资金。</w:t>
      </w:r>
    </w:p>
    <w:p w14:paraId="73785F24">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9.一般公共服务（类）纪检监察事务（款）一般行政管理事务（项）：指巡察办开展专项巡察业务等未单独设置项级科目的专门纪检监察工作的项目支出。</w:t>
      </w:r>
    </w:p>
    <w:p w14:paraId="0D695742">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t xml:space="preserve">10.项目支出：指在基本支出之外为完成特定行政任务和事业发展目标所发生的支出。 </w:t>
      </w:r>
      <w:bookmarkStart w:id="64" w:name="_Toc15396614"/>
      <w:bookmarkStart w:id="65" w:name="_Toc15377226"/>
    </w:p>
    <w:p w14:paraId="097BFFDD">
      <w:pPr>
        <w:pageBreakBefore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简体" w:cs="方正仿宋简体"/>
          <w:color w:val="auto"/>
          <w:sz w:val="32"/>
          <w:szCs w:val="32"/>
          <w:highlight w:val="none"/>
          <w:lang w:val="en-US" w:eastAsia="zh-CN"/>
        </w:rPr>
      </w:pPr>
      <w:r>
        <w:rPr>
          <w:rFonts w:hint="eastAsia" w:ascii="宋体" w:hAnsi="宋体" w:eastAsia="方正仿宋简体" w:cs="方正仿宋简体"/>
          <w:color w:val="auto"/>
          <w:sz w:val="32"/>
          <w:szCs w:val="32"/>
          <w:highlight w:val="none"/>
          <w:lang w:val="en-US" w:eastAsia="zh-CN"/>
        </w:rPr>
        <w:br w:type="page"/>
      </w:r>
    </w:p>
    <w:p w14:paraId="64A203D1">
      <w:pPr>
        <w:pStyle w:val="3"/>
        <w:keepNext/>
        <w:keepLines/>
        <w:pageBreakBefore w:val="0"/>
        <w:widowControl w:val="0"/>
        <w:numPr>
          <w:ilvl w:val="0"/>
          <w:numId w:val="0"/>
        </w:numPr>
        <w:kinsoku/>
        <w:wordWrap/>
        <w:overflowPunct/>
        <w:topLinePunct w:val="0"/>
        <w:autoSpaceDE/>
        <w:autoSpaceDN/>
        <w:bidi w:val="0"/>
        <w:adjustRightInd/>
        <w:snapToGrid/>
        <w:spacing w:before="0" w:after="0" w:line="660" w:lineRule="exact"/>
        <w:jc w:val="center"/>
        <w:textAlignment w:val="auto"/>
        <w:rPr>
          <w:rFonts w:hint="eastAsia" w:ascii="Times New Roman" w:hAnsi="Times New Roman" w:eastAsia="方正小标宋简体" w:cs="方正小标宋简体"/>
          <w:b w:val="0"/>
          <w:bCs w:val="0"/>
          <w:color w:val="auto"/>
          <w:kern w:val="44"/>
          <w:sz w:val="44"/>
          <w:szCs w:val="44"/>
          <w:lang w:val="en-US" w:eastAsia="zh-CN" w:bidi="ar-SA"/>
        </w:rPr>
      </w:pPr>
      <w:bookmarkStart w:id="66" w:name="_Toc25057"/>
      <w:r>
        <w:rPr>
          <w:rFonts w:hint="eastAsia" w:ascii="Times New Roman" w:hAnsi="Times New Roman" w:eastAsia="方正小标宋简体" w:cs="方正小标宋简体"/>
          <w:b w:val="0"/>
          <w:bCs w:val="0"/>
          <w:color w:val="auto"/>
          <w:kern w:val="44"/>
          <w:sz w:val="44"/>
          <w:szCs w:val="44"/>
          <w:lang w:val="en-US" w:eastAsia="zh-CN" w:bidi="ar-SA"/>
        </w:rPr>
        <w:t>第四部分  附件</w:t>
      </w:r>
      <w:bookmarkEnd w:id="64"/>
      <w:bookmarkEnd w:id="66"/>
    </w:p>
    <w:p w14:paraId="679FE8EA">
      <w:pPr>
        <w:pStyle w:val="3"/>
        <w:keepNext/>
        <w:keepLines/>
        <w:pageBreakBefore w:val="0"/>
        <w:widowControl w:val="0"/>
        <w:numPr>
          <w:ilvl w:val="0"/>
          <w:numId w:val="0"/>
        </w:numPr>
        <w:kinsoku/>
        <w:wordWrap/>
        <w:overflowPunct/>
        <w:topLinePunct w:val="0"/>
        <w:autoSpaceDE/>
        <w:autoSpaceDN/>
        <w:bidi w:val="0"/>
        <w:adjustRightInd/>
        <w:snapToGrid/>
        <w:spacing w:before="0" w:after="0" w:line="660" w:lineRule="exact"/>
        <w:jc w:val="center"/>
        <w:textAlignment w:val="auto"/>
        <w:rPr>
          <w:rFonts w:hint="eastAsia" w:ascii="Times New Roman" w:hAnsi="Times New Roman" w:eastAsia="方正小标宋简体" w:cs="方正小标宋简体"/>
          <w:b w:val="0"/>
          <w:bCs w:val="0"/>
          <w:color w:val="auto"/>
          <w:kern w:val="44"/>
          <w:sz w:val="44"/>
          <w:szCs w:val="44"/>
          <w:lang w:val="en-US" w:eastAsia="zh-CN" w:bidi="ar-SA"/>
        </w:rPr>
      </w:pPr>
    </w:p>
    <w:p w14:paraId="33D7D5AA">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outlineLvl w:val="9"/>
        <w:rPr>
          <w:rFonts w:hint="eastAsia" w:ascii="宋体" w:hAnsi="宋体" w:eastAsia="方正小标宋_GBK" w:cs="方正小标宋_GBK"/>
          <w:i w:val="0"/>
          <w:color w:val="000000"/>
          <w:kern w:val="0"/>
          <w:sz w:val="44"/>
          <w:szCs w:val="44"/>
          <w:u w:val="none"/>
          <w:lang w:val="en-US" w:eastAsia="zh-CN" w:bidi="ar"/>
        </w:rPr>
      </w:pPr>
      <w:bookmarkStart w:id="67" w:name="_Toc15396618"/>
      <w:r>
        <w:rPr>
          <w:rFonts w:hint="eastAsia" w:ascii="宋体" w:hAnsi="宋体" w:eastAsia="方正小标宋_GBK" w:cs="方正小标宋_GBK"/>
          <w:i w:val="0"/>
          <w:color w:val="000000"/>
          <w:kern w:val="0"/>
          <w:sz w:val="44"/>
          <w:szCs w:val="44"/>
          <w:u w:val="none"/>
          <w:lang w:val="en-US" w:eastAsia="zh-CN" w:bidi="ar"/>
        </w:rPr>
        <w:t>安岳县2024年度预算项目支出绩效自评表</w:t>
      </w:r>
    </w:p>
    <w:tbl>
      <w:tblPr>
        <w:tblStyle w:val="16"/>
        <w:tblW w:w="90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2"/>
        <w:gridCol w:w="921"/>
        <w:gridCol w:w="911"/>
        <w:gridCol w:w="1020"/>
        <w:gridCol w:w="462"/>
        <w:gridCol w:w="450"/>
        <w:gridCol w:w="563"/>
        <w:gridCol w:w="1025"/>
        <w:gridCol w:w="512"/>
        <w:gridCol w:w="475"/>
        <w:gridCol w:w="1884"/>
      </w:tblGrid>
      <w:tr w14:paraId="013EA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14:paraId="5AE70F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项目名称</w:t>
            </w:r>
          </w:p>
        </w:tc>
        <w:tc>
          <w:tcPr>
            <w:tcW w:w="7302" w:type="dxa"/>
            <w:gridSpan w:val="9"/>
            <w:tcBorders>
              <w:top w:val="single" w:color="000000" w:sz="4" w:space="0"/>
              <w:left w:val="single" w:color="000000" w:sz="4" w:space="0"/>
              <w:bottom w:val="single" w:color="000000" w:sz="4" w:space="0"/>
              <w:right w:val="single" w:color="000000" w:sz="4" w:space="0"/>
            </w:tcBorders>
            <w:noWrap w:val="0"/>
            <w:vAlign w:val="center"/>
          </w:tcPr>
          <w:p w14:paraId="0F441D6D">
            <w:pPr>
              <w:rPr>
                <w:rFonts w:hint="eastAsia" w:ascii="宋体" w:hAnsi="宋体" w:eastAsia="宋体" w:cs="宋体"/>
                <w:i w:val="0"/>
                <w:iCs w:val="0"/>
                <w:color w:val="000000"/>
                <w:sz w:val="21"/>
                <w:szCs w:val="21"/>
                <w:u w:val="none"/>
              </w:rPr>
            </w:pPr>
            <w:r>
              <w:rPr>
                <w:rFonts w:hint="eastAsia" w:ascii="宋体" w:hAnsi="宋体"/>
                <w:color w:val="000000"/>
                <w:kern w:val="0"/>
                <w:sz w:val="20"/>
                <w:szCs w:val="20"/>
                <w:highlight w:val="none"/>
                <w:lang w:val="en-US" w:eastAsia="zh-CN"/>
              </w:rPr>
              <w:t>51202122T000000247120-县委巡察专项经费</w:t>
            </w:r>
          </w:p>
        </w:tc>
      </w:tr>
      <w:tr w14:paraId="775DD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14:paraId="236887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主管部门</w:t>
            </w:r>
          </w:p>
        </w:tc>
        <w:tc>
          <w:tcPr>
            <w:tcW w:w="3406" w:type="dxa"/>
            <w:gridSpan w:val="5"/>
            <w:tcBorders>
              <w:top w:val="single" w:color="000000" w:sz="4" w:space="0"/>
              <w:left w:val="single" w:color="000000" w:sz="4" w:space="0"/>
              <w:bottom w:val="single" w:color="000000" w:sz="4" w:space="0"/>
              <w:right w:val="single" w:color="000000" w:sz="4" w:space="0"/>
            </w:tcBorders>
            <w:noWrap w:val="0"/>
            <w:vAlign w:val="center"/>
          </w:tcPr>
          <w:p w14:paraId="109D7AFC">
            <w:pP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中国共产党安岳县纪律检查委员会</w:t>
            </w:r>
          </w:p>
        </w:tc>
        <w:tc>
          <w:tcPr>
            <w:tcW w:w="1025" w:type="dxa"/>
            <w:tcBorders>
              <w:top w:val="nil"/>
              <w:left w:val="nil"/>
              <w:bottom w:val="nil"/>
              <w:right w:val="nil"/>
            </w:tcBorders>
            <w:noWrap w:val="0"/>
            <w:vAlign w:val="center"/>
          </w:tcPr>
          <w:p w14:paraId="3E4AA3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实施单位（盖章）</w:t>
            </w:r>
          </w:p>
        </w:tc>
        <w:tc>
          <w:tcPr>
            <w:tcW w:w="2871" w:type="dxa"/>
            <w:gridSpan w:val="3"/>
            <w:tcBorders>
              <w:top w:val="single" w:color="000000" w:sz="4" w:space="0"/>
              <w:left w:val="single" w:color="000000" w:sz="4" w:space="0"/>
              <w:bottom w:val="single" w:color="000000" w:sz="4" w:space="0"/>
              <w:right w:val="single" w:color="000000" w:sz="4" w:space="0"/>
            </w:tcBorders>
            <w:noWrap w:val="0"/>
            <w:vAlign w:val="center"/>
          </w:tcPr>
          <w:p w14:paraId="292A8036">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中共安岳县委巡察工作领导小组办公室</w:t>
            </w:r>
          </w:p>
        </w:tc>
      </w:tr>
      <w:tr w14:paraId="7E400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792" w:type="dxa"/>
            <w:vMerge w:val="restart"/>
            <w:tcBorders>
              <w:top w:val="single" w:color="000000" w:sz="4" w:space="0"/>
              <w:left w:val="single" w:color="000000" w:sz="4" w:space="0"/>
              <w:bottom w:val="single" w:color="000000" w:sz="4" w:space="0"/>
              <w:right w:val="single" w:color="000000" w:sz="4" w:space="0"/>
            </w:tcBorders>
            <w:noWrap w:val="0"/>
            <w:vAlign w:val="center"/>
          </w:tcPr>
          <w:p w14:paraId="3955A4A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项目基本情况</w:t>
            </w:r>
          </w:p>
        </w:tc>
        <w:tc>
          <w:tcPr>
            <w:tcW w:w="921" w:type="dxa"/>
            <w:vMerge w:val="restart"/>
            <w:tcBorders>
              <w:top w:val="single" w:color="000000" w:sz="4" w:space="0"/>
              <w:left w:val="single" w:color="000000" w:sz="4" w:space="0"/>
              <w:bottom w:val="single" w:color="000000" w:sz="4" w:space="0"/>
              <w:right w:val="single" w:color="000000" w:sz="4" w:space="0"/>
            </w:tcBorders>
            <w:noWrap w:val="0"/>
            <w:vAlign w:val="center"/>
          </w:tcPr>
          <w:p w14:paraId="4DDFE02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1.项目年度目标完成情况</w:t>
            </w:r>
          </w:p>
        </w:tc>
        <w:tc>
          <w:tcPr>
            <w:tcW w:w="3406" w:type="dxa"/>
            <w:gridSpan w:val="5"/>
            <w:tcBorders>
              <w:top w:val="single" w:color="000000" w:sz="4" w:space="0"/>
              <w:left w:val="single" w:color="000000" w:sz="4" w:space="0"/>
              <w:bottom w:val="single" w:color="000000" w:sz="4" w:space="0"/>
              <w:right w:val="single" w:color="000000" w:sz="4" w:space="0"/>
            </w:tcBorders>
            <w:noWrap w:val="0"/>
            <w:vAlign w:val="center"/>
          </w:tcPr>
          <w:p w14:paraId="49A507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项目年度目标</w:t>
            </w:r>
          </w:p>
        </w:tc>
        <w:tc>
          <w:tcPr>
            <w:tcW w:w="3896" w:type="dxa"/>
            <w:gridSpan w:val="4"/>
            <w:tcBorders>
              <w:top w:val="single" w:color="000000" w:sz="4" w:space="0"/>
              <w:left w:val="single" w:color="000000" w:sz="4" w:space="0"/>
              <w:bottom w:val="single" w:color="000000" w:sz="4" w:space="0"/>
              <w:right w:val="single" w:color="000000" w:sz="4" w:space="0"/>
            </w:tcBorders>
            <w:noWrap w:val="0"/>
            <w:vAlign w:val="center"/>
          </w:tcPr>
          <w:p w14:paraId="41491E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年度目标完成情况</w:t>
            </w:r>
          </w:p>
        </w:tc>
      </w:tr>
      <w:tr w14:paraId="578D4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6EF440">
            <w:pPr>
              <w:rPr>
                <w:rFonts w:hint="eastAsia" w:ascii="宋体" w:hAnsi="宋体" w:eastAsia="宋体" w:cs="宋体"/>
                <w:i w:val="0"/>
                <w:iCs w:val="0"/>
                <w:color w:val="000000"/>
                <w:sz w:val="21"/>
                <w:szCs w:val="21"/>
                <w:u w:val="none"/>
              </w:rPr>
            </w:pPr>
          </w:p>
        </w:tc>
        <w:tc>
          <w:tcPr>
            <w:tcW w:w="9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346C6D">
            <w:pPr>
              <w:rPr>
                <w:rFonts w:hint="eastAsia" w:ascii="宋体" w:hAnsi="宋体" w:eastAsia="宋体" w:cs="宋体"/>
                <w:i w:val="0"/>
                <w:iCs w:val="0"/>
                <w:color w:val="000000"/>
                <w:sz w:val="21"/>
                <w:szCs w:val="21"/>
                <w:u w:val="none"/>
              </w:rPr>
            </w:pPr>
          </w:p>
        </w:tc>
        <w:tc>
          <w:tcPr>
            <w:tcW w:w="3406" w:type="dxa"/>
            <w:gridSpan w:val="5"/>
            <w:tcBorders>
              <w:top w:val="single" w:color="000000" w:sz="4" w:space="0"/>
              <w:left w:val="single" w:color="000000" w:sz="4" w:space="0"/>
              <w:bottom w:val="single" w:color="000000" w:sz="4" w:space="0"/>
              <w:right w:val="single" w:color="000000" w:sz="4" w:space="0"/>
            </w:tcBorders>
            <w:noWrap w:val="0"/>
            <w:vAlign w:val="center"/>
          </w:tcPr>
          <w:p w14:paraId="27898C65">
            <w:pPr>
              <w:rPr>
                <w:rFonts w:hint="eastAsia" w:ascii="宋体" w:hAnsi="宋体" w:eastAsia="宋体" w:cs="宋体"/>
                <w:i w:val="0"/>
                <w:iCs w:val="0"/>
                <w:color w:val="000000"/>
                <w:sz w:val="21"/>
                <w:szCs w:val="21"/>
                <w:u w:val="none"/>
              </w:rPr>
            </w:pPr>
            <w:r>
              <w:rPr>
                <w:rFonts w:hint="eastAsia" w:ascii="宋体" w:hAnsi="宋体" w:eastAsia="宋体" w:cs="Times New Roman"/>
                <w:color w:val="000000"/>
                <w:kern w:val="0"/>
                <w:sz w:val="20"/>
                <w:szCs w:val="20"/>
                <w:highlight w:val="none"/>
                <w:lang w:val="en-US" w:eastAsia="zh-CN"/>
              </w:rPr>
              <w:t>通过认真贯彻落实中央、省委和市委巡视巡察新精神新部署</w:t>
            </w:r>
            <w:r>
              <w:rPr>
                <w:rFonts w:hint="eastAsia" w:ascii="宋体" w:hAnsi="宋体" w:cs="Times New Roman"/>
                <w:color w:val="000000"/>
                <w:kern w:val="0"/>
                <w:sz w:val="20"/>
                <w:szCs w:val="20"/>
                <w:highlight w:val="none"/>
                <w:lang w:val="en-US" w:eastAsia="zh-CN"/>
              </w:rPr>
              <w:t>新</w:t>
            </w:r>
            <w:r>
              <w:rPr>
                <w:rFonts w:hint="eastAsia" w:ascii="宋体" w:hAnsi="宋体" w:eastAsia="宋体" w:cs="Times New Roman"/>
                <w:color w:val="000000"/>
                <w:kern w:val="0"/>
                <w:sz w:val="20"/>
                <w:szCs w:val="20"/>
                <w:highlight w:val="none"/>
                <w:lang w:val="en-US" w:eastAsia="zh-CN"/>
              </w:rPr>
              <w:t>要求，紧盯目标任务，精心谋划组织，扎实推进巡察全覆盖，确保有形覆盖、有效覆盖相统一，政治监督不断走向具体化、常态化，推动中心工作落地落实。</w:t>
            </w:r>
          </w:p>
        </w:tc>
        <w:tc>
          <w:tcPr>
            <w:tcW w:w="3896" w:type="dxa"/>
            <w:gridSpan w:val="4"/>
            <w:tcBorders>
              <w:top w:val="single" w:color="000000" w:sz="4" w:space="0"/>
              <w:left w:val="single" w:color="000000" w:sz="4" w:space="0"/>
              <w:bottom w:val="single" w:color="000000" w:sz="4" w:space="0"/>
              <w:right w:val="single" w:color="000000" w:sz="4" w:space="0"/>
            </w:tcBorders>
            <w:noWrap w:val="0"/>
            <w:vAlign w:val="center"/>
          </w:tcPr>
          <w:p w14:paraId="7C1D38F8">
            <w:pP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本年度项目绩效目标全部完成，无偏差，达到了预期目标。</w:t>
            </w:r>
          </w:p>
          <w:p w14:paraId="7EBAF76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bookmarkStart w:id="95" w:name="_GoBack"/>
            <w:bookmarkEnd w:id="95"/>
          </w:p>
        </w:tc>
      </w:tr>
      <w:tr w14:paraId="4D291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89AC25">
            <w:pP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77281B0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2.项目实施内容及过程概述</w:t>
            </w:r>
          </w:p>
        </w:tc>
        <w:tc>
          <w:tcPr>
            <w:tcW w:w="7302" w:type="dxa"/>
            <w:gridSpan w:val="9"/>
            <w:tcBorders>
              <w:top w:val="single" w:color="000000" w:sz="4" w:space="0"/>
              <w:left w:val="single" w:color="000000" w:sz="4" w:space="0"/>
              <w:bottom w:val="single" w:color="000000" w:sz="4" w:space="0"/>
              <w:right w:val="single" w:color="000000" w:sz="4" w:space="0"/>
            </w:tcBorders>
            <w:noWrap w:val="0"/>
            <w:vAlign w:val="center"/>
          </w:tcPr>
          <w:p w14:paraId="45EEF2E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有力有序开展两轮常规巡察和一轮专项巡察，共巡察24个单位、3个县属国有企业，对17个单位开展了“回头看”，乡镇、部门巡察覆盖率达到87%，村（社区）覆盖率达到78%，超额完成年初市委巡察覆盖率达到75%以上的目标任务。</w:t>
            </w:r>
          </w:p>
        </w:tc>
      </w:tr>
      <w:tr w14:paraId="401C3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92" w:type="dxa"/>
            <w:vMerge w:val="restart"/>
            <w:tcBorders>
              <w:top w:val="single" w:color="000000" w:sz="4" w:space="0"/>
              <w:left w:val="single" w:color="000000" w:sz="4" w:space="0"/>
              <w:bottom w:val="single" w:color="000000" w:sz="4" w:space="0"/>
              <w:right w:val="single" w:color="000000" w:sz="4" w:space="0"/>
            </w:tcBorders>
            <w:noWrap w:val="0"/>
            <w:vAlign w:val="center"/>
          </w:tcPr>
          <w:p w14:paraId="710672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预算执行情况（10分）</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126B57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年度预算数（万元）</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2F5C64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年初预算</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76B5A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调整后预算数</w:t>
            </w:r>
          </w:p>
        </w:tc>
        <w:tc>
          <w:tcPr>
            <w:tcW w:w="1475" w:type="dxa"/>
            <w:gridSpan w:val="3"/>
            <w:tcBorders>
              <w:top w:val="single" w:color="000000" w:sz="4" w:space="0"/>
              <w:left w:val="single" w:color="000000" w:sz="4" w:space="0"/>
              <w:bottom w:val="single" w:color="000000" w:sz="4" w:space="0"/>
              <w:right w:val="single" w:color="000000" w:sz="4" w:space="0"/>
            </w:tcBorders>
            <w:noWrap w:val="0"/>
            <w:vAlign w:val="center"/>
          </w:tcPr>
          <w:p w14:paraId="0850D7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预算执行数</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1DD782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预算执行率</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2EA35C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权重</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5F578B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58A32A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原因</w:t>
            </w:r>
          </w:p>
        </w:tc>
      </w:tr>
      <w:tr w14:paraId="139EE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62C041">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3B1BD0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总额</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01DEF43C">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90.04</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10CD855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93.52</w:t>
            </w:r>
          </w:p>
        </w:tc>
        <w:tc>
          <w:tcPr>
            <w:tcW w:w="1475" w:type="dxa"/>
            <w:gridSpan w:val="3"/>
            <w:tcBorders>
              <w:top w:val="single" w:color="000000" w:sz="4" w:space="0"/>
              <w:left w:val="single" w:color="000000" w:sz="4" w:space="0"/>
              <w:bottom w:val="single" w:color="000000" w:sz="4" w:space="0"/>
              <w:right w:val="single" w:color="000000" w:sz="4" w:space="0"/>
            </w:tcBorders>
            <w:noWrap w:val="0"/>
            <w:vAlign w:val="center"/>
          </w:tcPr>
          <w:p w14:paraId="11524418">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93.52</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02A586E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100.00%</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4CEAA6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2AFEFE17">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1884" w:type="dxa"/>
            <w:vMerge w:val="restart"/>
            <w:tcBorders>
              <w:top w:val="single" w:color="000000" w:sz="4" w:space="0"/>
              <w:left w:val="single" w:color="000000" w:sz="4" w:space="0"/>
              <w:bottom w:val="single" w:color="000000" w:sz="4" w:space="0"/>
              <w:right w:val="single" w:color="000000" w:sz="4" w:space="0"/>
            </w:tcBorders>
            <w:noWrap w:val="0"/>
            <w:vAlign w:val="center"/>
          </w:tcPr>
          <w:p w14:paraId="1BB831E8">
            <w:pPr>
              <w:keepNext w:val="0"/>
              <w:keepLines w:val="0"/>
              <w:widowControl/>
              <w:suppressLineNumbers w:val="0"/>
              <w:jc w:val="center"/>
              <w:textAlignment w:val="center"/>
              <w:rPr>
                <w:rFonts w:hint="eastAsia" w:ascii="宋体" w:hAnsi="宋体" w:eastAsia="宋体" w:cs="宋体"/>
                <w:i/>
                <w:iCs/>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无</w:t>
            </w:r>
          </w:p>
        </w:tc>
      </w:tr>
      <w:tr w14:paraId="2F33D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BBD204">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399106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其中：财政资金</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01C02AFE">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90.04</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39EA1F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93.52</w:t>
            </w:r>
          </w:p>
        </w:tc>
        <w:tc>
          <w:tcPr>
            <w:tcW w:w="1475" w:type="dxa"/>
            <w:gridSpan w:val="3"/>
            <w:tcBorders>
              <w:top w:val="single" w:color="000000" w:sz="4" w:space="0"/>
              <w:left w:val="single" w:color="000000" w:sz="4" w:space="0"/>
              <w:bottom w:val="single" w:color="000000" w:sz="4" w:space="0"/>
              <w:right w:val="single" w:color="000000" w:sz="4" w:space="0"/>
            </w:tcBorders>
            <w:noWrap w:val="0"/>
            <w:vAlign w:val="center"/>
          </w:tcPr>
          <w:p w14:paraId="79FA1B7E">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93.52</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766AF75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100.00%</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7B039F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589171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88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50746E">
            <w:pPr>
              <w:rPr>
                <w:rFonts w:hint="eastAsia" w:ascii="宋体" w:hAnsi="宋体" w:eastAsia="宋体" w:cs="宋体"/>
                <w:i/>
                <w:iCs/>
                <w:color w:val="000000"/>
                <w:sz w:val="21"/>
                <w:szCs w:val="21"/>
                <w:u w:val="none"/>
              </w:rPr>
            </w:pPr>
          </w:p>
        </w:tc>
      </w:tr>
      <w:tr w14:paraId="0B56A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A1507">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6985A9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财政专户管理资金</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662801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5B8C08F6">
            <w:pPr>
              <w:jc w:val="center"/>
              <w:rPr>
                <w:rFonts w:hint="eastAsia" w:ascii="宋体" w:hAnsi="宋体" w:eastAsia="宋体" w:cs="宋体"/>
                <w:i w:val="0"/>
                <w:iCs w:val="0"/>
                <w:color w:val="000000"/>
                <w:sz w:val="21"/>
                <w:szCs w:val="21"/>
                <w:u w:val="none"/>
              </w:rPr>
            </w:pPr>
          </w:p>
        </w:tc>
        <w:tc>
          <w:tcPr>
            <w:tcW w:w="1475" w:type="dxa"/>
            <w:gridSpan w:val="3"/>
            <w:tcBorders>
              <w:top w:val="single" w:color="000000" w:sz="4" w:space="0"/>
              <w:left w:val="single" w:color="000000" w:sz="4" w:space="0"/>
              <w:bottom w:val="single" w:color="000000" w:sz="4" w:space="0"/>
              <w:right w:val="single" w:color="000000" w:sz="4" w:space="0"/>
            </w:tcBorders>
            <w:noWrap w:val="0"/>
            <w:vAlign w:val="center"/>
          </w:tcPr>
          <w:p w14:paraId="2FB09210">
            <w:pPr>
              <w:jc w:val="center"/>
              <w:rPr>
                <w:rFonts w:hint="eastAsia" w:ascii="宋体" w:hAnsi="宋体" w:eastAsia="宋体" w:cs="宋体"/>
                <w:i w:val="0"/>
                <w:iCs w:val="0"/>
                <w:color w:val="000000"/>
                <w:sz w:val="21"/>
                <w:szCs w:val="21"/>
                <w:u w:val="none"/>
              </w:rPr>
            </w:pP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5E6AF4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5D21B8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15C9D0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88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ED5A3C">
            <w:pPr>
              <w:rPr>
                <w:rFonts w:hint="eastAsia" w:ascii="宋体" w:hAnsi="宋体" w:eastAsia="宋体" w:cs="宋体"/>
                <w:i/>
                <w:iCs/>
                <w:color w:val="000000"/>
                <w:sz w:val="21"/>
                <w:szCs w:val="21"/>
                <w:u w:val="none"/>
              </w:rPr>
            </w:pPr>
          </w:p>
        </w:tc>
      </w:tr>
      <w:tr w14:paraId="7FB82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F0D628">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404DD1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单位资金</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27AC04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54A13640">
            <w:pPr>
              <w:jc w:val="center"/>
              <w:rPr>
                <w:rFonts w:hint="eastAsia" w:ascii="宋体" w:hAnsi="宋体" w:eastAsia="宋体" w:cs="宋体"/>
                <w:i w:val="0"/>
                <w:iCs w:val="0"/>
                <w:color w:val="000000"/>
                <w:sz w:val="21"/>
                <w:szCs w:val="21"/>
                <w:u w:val="none"/>
              </w:rPr>
            </w:pPr>
          </w:p>
        </w:tc>
        <w:tc>
          <w:tcPr>
            <w:tcW w:w="1475" w:type="dxa"/>
            <w:gridSpan w:val="3"/>
            <w:tcBorders>
              <w:top w:val="single" w:color="000000" w:sz="4" w:space="0"/>
              <w:left w:val="single" w:color="000000" w:sz="4" w:space="0"/>
              <w:bottom w:val="single" w:color="000000" w:sz="4" w:space="0"/>
              <w:right w:val="single" w:color="000000" w:sz="4" w:space="0"/>
            </w:tcBorders>
            <w:noWrap w:val="0"/>
            <w:vAlign w:val="center"/>
          </w:tcPr>
          <w:p w14:paraId="095BA4D7">
            <w:pPr>
              <w:jc w:val="center"/>
              <w:rPr>
                <w:rFonts w:hint="eastAsia" w:ascii="宋体" w:hAnsi="宋体" w:eastAsia="宋体" w:cs="宋体"/>
                <w:i w:val="0"/>
                <w:iCs w:val="0"/>
                <w:color w:val="000000"/>
                <w:sz w:val="21"/>
                <w:szCs w:val="21"/>
                <w:u w:val="none"/>
              </w:rPr>
            </w:pP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523056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05966D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2B1C63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88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B9885A">
            <w:pPr>
              <w:rPr>
                <w:rFonts w:hint="eastAsia" w:ascii="宋体" w:hAnsi="宋体" w:eastAsia="宋体" w:cs="宋体"/>
                <w:i/>
                <w:iCs/>
                <w:color w:val="000000"/>
                <w:sz w:val="21"/>
                <w:szCs w:val="21"/>
                <w:u w:val="none"/>
              </w:rPr>
            </w:pPr>
          </w:p>
        </w:tc>
      </w:tr>
      <w:tr w14:paraId="61E77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792" w:type="dxa"/>
            <w:vMerge w:val="continue"/>
            <w:tcBorders>
              <w:top w:val="single" w:color="000000" w:sz="4" w:space="0"/>
              <w:left w:val="single" w:color="000000" w:sz="4" w:space="0"/>
              <w:bottom w:val="single" w:color="auto" w:sz="4" w:space="0"/>
              <w:right w:val="single" w:color="000000" w:sz="4" w:space="0"/>
            </w:tcBorders>
            <w:noWrap w:val="0"/>
            <w:vAlign w:val="center"/>
          </w:tcPr>
          <w:p w14:paraId="7DB2A565">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auto" w:sz="4" w:space="0"/>
              <w:right w:val="single" w:color="000000" w:sz="4" w:space="0"/>
            </w:tcBorders>
            <w:noWrap w:val="0"/>
            <w:vAlign w:val="center"/>
          </w:tcPr>
          <w:p w14:paraId="043266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其他资金</w:t>
            </w:r>
          </w:p>
        </w:tc>
        <w:tc>
          <w:tcPr>
            <w:tcW w:w="911" w:type="dxa"/>
            <w:tcBorders>
              <w:top w:val="single" w:color="000000" w:sz="4" w:space="0"/>
              <w:left w:val="single" w:color="000000" w:sz="4" w:space="0"/>
              <w:bottom w:val="single" w:color="auto" w:sz="4" w:space="0"/>
              <w:right w:val="single" w:color="000000" w:sz="4" w:space="0"/>
            </w:tcBorders>
            <w:noWrap w:val="0"/>
            <w:vAlign w:val="center"/>
          </w:tcPr>
          <w:p w14:paraId="20C755FB">
            <w:pPr>
              <w:jc w:val="center"/>
              <w:rPr>
                <w:rFonts w:hint="eastAsia" w:ascii="宋体" w:hAnsi="宋体" w:eastAsia="宋体" w:cs="宋体"/>
                <w:i/>
                <w:iCs/>
                <w:color w:val="000000"/>
                <w:sz w:val="21"/>
                <w:szCs w:val="21"/>
                <w:u w:val="none"/>
              </w:rPr>
            </w:pPr>
          </w:p>
        </w:tc>
        <w:tc>
          <w:tcPr>
            <w:tcW w:w="1020" w:type="dxa"/>
            <w:tcBorders>
              <w:top w:val="single" w:color="000000" w:sz="4" w:space="0"/>
              <w:left w:val="single" w:color="000000" w:sz="4" w:space="0"/>
              <w:bottom w:val="single" w:color="auto" w:sz="4" w:space="0"/>
              <w:right w:val="single" w:color="000000" w:sz="4" w:space="0"/>
            </w:tcBorders>
            <w:noWrap w:val="0"/>
            <w:vAlign w:val="center"/>
          </w:tcPr>
          <w:p w14:paraId="69E7BC77">
            <w:pPr>
              <w:jc w:val="center"/>
              <w:rPr>
                <w:rFonts w:hint="eastAsia" w:ascii="宋体" w:hAnsi="宋体" w:eastAsia="宋体" w:cs="宋体"/>
                <w:i/>
                <w:iCs/>
                <w:color w:val="000000"/>
                <w:sz w:val="21"/>
                <w:szCs w:val="21"/>
                <w:u w:val="none"/>
              </w:rPr>
            </w:pPr>
          </w:p>
        </w:tc>
        <w:tc>
          <w:tcPr>
            <w:tcW w:w="1475" w:type="dxa"/>
            <w:gridSpan w:val="3"/>
            <w:tcBorders>
              <w:top w:val="single" w:color="000000" w:sz="4" w:space="0"/>
              <w:left w:val="single" w:color="000000" w:sz="4" w:space="0"/>
              <w:bottom w:val="single" w:color="000000" w:sz="4" w:space="0"/>
              <w:right w:val="single" w:color="000000" w:sz="4" w:space="0"/>
            </w:tcBorders>
            <w:noWrap w:val="0"/>
            <w:vAlign w:val="center"/>
          </w:tcPr>
          <w:p w14:paraId="457EC9F8">
            <w:pPr>
              <w:jc w:val="center"/>
              <w:rPr>
                <w:rFonts w:hint="eastAsia" w:ascii="宋体" w:hAnsi="宋体" w:eastAsia="宋体" w:cs="宋体"/>
                <w:i/>
                <w:iCs/>
                <w:color w:val="000000"/>
                <w:sz w:val="21"/>
                <w:szCs w:val="21"/>
                <w:u w:val="none"/>
              </w:rPr>
            </w:pP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06DE7266">
            <w:pPr>
              <w:jc w:val="center"/>
              <w:rPr>
                <w:rFonts w:hint="eastAsia" w:ascii="宋体" w:hAnsi="宋体" w:eastAsia="宋体" w:cs="宋体"/>
                <w:i/>
                <w:iCs/>
                <w:color w:val="000000"/>
                <w:sz w:val="21"/>
                <w:szCs w:val="21"/>
                <w:u w:val="none"/>
              </w:rPr>
            </w:pP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290FE2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705DA3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88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422E8D">
            <w:pPr>
              <w:rPr>
                <w:rFonts w:hint="eastAsia" w:ascii="宋体" w:hAnsi="宋体" w:eastAsia="宋体" w:cs="宋体"/>
                <w:i/>
                <w:iCs/>
                <w:color w:val="000000"/>
                <w:sz w:val="21"/>
                <w:szCs w:val="21"/>
                <w:u w:val="none"/>
              </w:rPr>
            </w:pPr>
          </w:p>
        </w:tc>
      </w:tr>
      <w:tr w14:paraId="26C3D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5" w:hRule="atLeast"/>
        </w:trPr>
        <w:tc>
          <w:tcPr>
            <w:tcW w:w="792" w:type="dxa"/>
            <w:vMerge w:val="restart"/>
            <w:tcBorders>
              <w:top w:val="single" w:color="auto" w:sz="4" w:space="0"/>
              <w:left w:val="single" w:color="auto" w:sz="4" w:space="0"/>
              <w:bottom w:val="single" w:color="000000" w:sz="4" w:space="0"/>
              <w:right w:val="single" w:color="000000" w:sz="4" w:space="0"/>
            </w:tcBorders>
            <w:noWrap w:val="0"/>
            <w:vAlign w:val="center"/>
          </w:tcPr>
          <w:p w14:paraId="6B32F0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绩效指标（90分）</w:t>
            </w:r>
          </w:p>
        </w:tc>
        <w:tc>
          <w:tcPr>
            <w:tcW w:w="921" w:type="dxa"/>
            <w:tcBorders>
              <w:top w:val="single" w:color="auto" w:sz="4" w:space="0"/>
              <w:left w:val="single" w:color="000000" w:sz="4" w:space="0"/>
              <w:bottom w:val="single" w:color="000000" w:sz="4" w:space="0"/>
              <w:right w:val="single" w:color="000000" w:sz="4" w:space="0"/>
            </w:tcBorders>
            <w:noWrap w:val="0"/>
            <w:vAlign w:val="center"/>
          </w:tcPr>
          <w:p w14:paraId="514DC7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一级指标</w:t>
            </w:r>
          </w:p>
        </w:tc>
        <w:tc>
          <w:tcPr>
            <w:tcW w:w="911" w:type="dxa"/>
            <w:tcBorders>
              <w:top w:val="single" w:color="auto" w:sz="4" w:space="0"/>
              <w:left w:val="single" w:color="000000" w:sz="4" w:space="0"/>
              <w:bottom w:val="single" w:color="000000" w:sz="4" w:space="0"/>
              <w:right w:val="single" w:color="000000" w:sz="4" w:space="0"/>
            </w:tcBorders>
            <w:noWrap w:val="0"/>
            <w:vAlign w:val="center"/>
          </w:tcPr>
          <w:p w14:paraId="6EB9B6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二级指标</w:t>
            </w:r>
          </w:p>
        </w:tc>
        <w:tc>
          <w:tcPr>
            <w:tcW w:w="1020" w:type="dxa"/>
            <w:tcBorders>
              <w:top w:val="single" w:color="auto" w:sz="4" w:space="0"/>
              <w:left w:val="single" w:color="000000" w:sz="4" w:space="0"/>
              <w:bottom w:val="single" w:color="000000" w:sz="4" w:space="0"/>
              <w:right w:val="single" w:color="auto" w:sz="4" w:space="0"/>
            </w:tcBorders>
            <w:noWrap w:val="0"/>
            <w:vAlign w:val="center"/>
          </w:tcPr>
          <w:p w14:paraId="52B2D1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三级指标</w:t>
            </w:r>
          </w:p>
        </w:tc>
        <w:tc>
          <w:tcPr>
            <w:tcW w:w="462" w:type="dxa"/>
            <w:tcBorders>
              <w:top w:val="single" w:color="000000" w:sz="4" w:space="0"/>
              <w:left w:val="single" w:color="auto" w:sz="4" w:space="0"/>
              <w:bottom w:val="single" w:color="000000" w:sz="4" w:space="0"/>
              <w:right w:val="single" w:color="000000" w:sz="4" w:space="0"/>
            </w:tcBorders>
            <w:noWrap w:val="0"/>
            <w:vAlign w:val="center"/>
          </w:tcPr>
          <w:p w14:paraId="6EC186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指标性质</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1038C3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指标值</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70A327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度量单位</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375A7E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完成值</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6B5343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权重</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7FCD72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45D231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未完成原因分析</w:t>
            </w:r>
          </w:p>
        </w:tc>
      </w:tr>
      <w:tr w14:paraId="603EC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 w:hRule="atLeast"/>
        </w:trPr>
        <w:tc>
          <w:tcPr>
            <w:tcW w:w="792" w:type="dxa"/>
            <w:vMerge w:val="continue"/>
            <w:tcBorders>
              <w:top w:val="single" w:color="000000" w:sz="4" w:space="0"/>
              <w:left w:val="single" w:color="auto" w:sz="4" w:space="0"/>
              <w:bottom w:val="single" w:color="auto" w:sz="4" w:space="0"/>
              <w:right w:val="single" w:color="000000" w:sz="4" w:space="0"/>
            </w:tcBorders>
            <w:noWrap w:val="0"/>
            <w:vAlign w:val="center"/>
          </w:tcPr>
          <w:p w14:paraId="10A94D46">
            <w:pPr>
              <w:jc w:val="center"/>
              <w:rPr>
                <w:rFonts w:hint="eastAsia" w:ascii="宋体" w:hAnsi="宋体" w:eastAsia="宋体" w:cs="宋体"/>
                <w:i w:val="0"/>
                <w:iCs w:val="0"/>
                <w:color w:val="000000"/>
                <w:sz w:val="21"/>
                <w:szCs w:val="21"/>
                <w:u w:val="none"/>
              </w:rPr>
            </w:pPr>
          </w:p>
        </w:tc>
        <w:tc>
          <w:tcPr>
            <w:tcW w:w="921" w:type="dxa"/>
            <w:vMerge w:val="restart"/>
            <w:tcBorders>
              <w:top w:val="single" w:color="000000" w:sz="4" w:space="0"/>
              <w:left w:val="single" w:color="000000" w:sz="4" w:space="0"/>
              <w:bottom w:val="single" w:color="auto" w:sz="4" w:space="0"/>
              <w:right w:val="single" w:color="000000" w:sz="4" w:space="0"/>
            </w:tcBorders>
            <w:noWrap w:val="0"/>
            <w:vAlign w:val="center"/>
          </w:tcPr>
          <w:p w14:paraId="57B8DEF0">
            <w:pPr>
              <w:jc w:val="center"/>
              <w:rPr>
                <w:rFonts w:hint="eastAsia" w:ascii="宋体" w:hAnsi="宋体" w:eastAsia="宋体" w:cs="宋体"/>
                <w:i w:val="0"/>
                <w:iCs w:val="0"/>
                <w:color w:val="000000"/>
                <w:sz w:val="18"/>
                <w:szCs w:val="18"/>
                <w:u w:val="none"/>
                <w:lang w:val="en-US" w:eastAsia="zh-CN"/>
              </w:rPr>
            </w:pPr>
          </w:p>
          <w:p w14:paraId="0011006C">
            <w:pPr>
              <w:jc w:val="center"/>
              <w:rPr>
                <w:rFonts w:hint="eastAsia" w:ascii="宋体" w:hAnsi="宋体" w:eastAsia="宋体" w:cs="宋体"/>
                <w:i w:val="0"/>
                <w:iCs w:val="0"/>
                <w:color w:val="000000"/>
                <w:sz w:val="18"/>
                <w:szCs w:val="18"/>
                <w:u w:val="none"/>
                <w:lang w:val="en-US" w:eastAsia="zh-CN"/>
              </w:rPr>
            </w:pPr>
          </w:p>
          <w:p w14:paraId="05BAC1C8">
            <w:pPr>
              <w:jc w:val="center"/>
              <w:rPr>
                <w:rFonts w:hint="eastAsia" w:ascii="宋体" w:hAnsi="宋体" w:eastAsia="宋体" w:cs="宋体"/>
                <w:i w:val="0"/>
                <w:iCs w:val="0"/>
                <w:color w:val="000000"/>
                <w:sz w:val="18"/>
                <w:szCs w:val="18"/>
                <w:u w:val="none"/>
                <w:lang w:val="en-US" w:eastAsia="zh-CN"/>
              </w:rPr>
            </w:pPr>
          </w:p>
          <w:p w14:paraId="5328A69D">
            <w:pPr>
              <w:jc w:val="center"/>
              <w:rPr>
                <w:rFonts w:hint="eastAsia" w:ascii="宋体" w:hAnsi="宋体" w:eastAsia="宋体" w:cs="宋体"/>
                <w:i w:val="0"/>
                <w:iCs w:val="0"/>
                <w:color w:val="000000"/>
                <w:sz w:val="18"/>
                <w:szCs w:val="18"/>
                <w:u w:val="none"/>
                <w:lang w:val="en-US" w:eastAsia="zh-CN"/>
              </w:rPr>
            </w:pPr>
          </w:p>
          <w:p w14:paraId="3ACCA81A">
            <w:pPr>
              <w:jc w:val="center"/>
              <w:rPr>
                <w:rFonts w:hint="eastAsia" w:ascii="宋体" w:hAnsi="宋体" w:eastAsia="宋体" w:cs="宋体"/>
                <w:i w:val="0"/>
                <w:iCs w:val="0"/>
                <w:color w:val="000000"/>
                <w:sz w:val="18"/>
                <w:szCs w:val="18"/>
                <w:u w:val="none"/>
                <w:lang w:val="en-US" w:eastAsia="zh-CN"/>
              </w:rPr>
            </w:pPr>
          </w:p>
          <w:p w14:paraId="2CEFD552">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产出指标</w:t>
            </w:r>
          </w:p>
        </w:tc>
        <w:tc>
          <w:tcPr>
            <w:tcW w:w="911" w:type="dxa"/>
            <w:vMerge w:val="restart"/>
            <w:tcBorders>
              <w:top w:val="single" w:color="000000" w:sz="4" w:space="0"/>
              <w:left w:val="single" w:color="000000" w:sz="4" w:space="0"/>
              <w:bottom w:val="single" w:color="auto" w:sz="4" w:space="0"/>
              <w:right w:val="single" w:color="000000" w:sz="4" w:space="0"/>
            </w:tcBorders>
            <w:noWrap w:val="0"/>
            <w:vAlign w:val="center"/>
          </w:tcPr>
          <w:p w14:paraId="4C627CB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数量指标</w:t>
            </w:r>
          </w:p>
        </w:tc>
        <w:tc>
          <w:tcPr>
            <w:tcW w:w="1020" w:type="dxa"/>
            <w:tcBorders>
              <w:top w:val="single" w:color="000000" w:sz="4" w:space="0"/>
              <w:left w:val="single" w:color="000000" w:sz="4" w:space="0"/>
              <w:bottom w:val="single" w:color="auto" w:sz="4" w:space="0"/>
              <w:right w:val="single" w:color="auto" w:sz="4" w:space="0"/>
            </w:tcBorders>
            <w:noWrap w:val="0"/>
            <w:vAlign w:val="center"/>
          </w:tcPr>
          <w:p w14:paraId="1E529B76">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全年巡察培训</w:t>
            </w:r>
          </w:p>
        </w:tc>
        <w:tc>
          <w:tcPr>
            <w:tcW w:w="462" w:type="dxa"/>
            <w:tcBorders>
              <w:top w:val="single" w:color="000000" w:sz="4" w:space="0"/>
              <w:left w:val="single" w:color="auto" w:sz="4" w:space="0"/>
              <w:bottom w:val="single" w:color="000000" w:sz="4" w:space="0"/>
              <w:right w:val="single" w:color="000000" w:sz="4" w:space="0"/>
            </w:tcBorders>
            <w:noWrap w:val="0"/>
            <w:vAlign w:val="center"/>
          </w:tcPr>
          <w:p w14:paraId="074F790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7CB793E7">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499C8A2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期/年</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3336321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7B1B5248">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480CA8AF">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10</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488144F7">
            <w:pPr>
              <w:jc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无</w:t>
            </w:r>
          </w:p>
        </w:tc>
      </w:tr>
      <w:tr w14:paraId="30CF4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 w:hRule="atLeast"/>
        </w:trPr>
        <w:tc>
          <w:tcPr>
            <w:tcW w:w="792" w:type="dxa"/>
            <w:vMerge w:val="continue"/>
            <w:tcBorders>
              <w:top w:val="single" w:color="auto" w:sz="4" w:space="0"/>
              <w:left w:val="single" w:color="auto" w:sz="4" w:space="0"/>
              <w:bottom w:val="single" w:color="000000" w:sz="4" w:space="0"/>
              <w:right w:val="single" w:color="000000" w:sz="4" w:space="0"/>
            </w:tcBorders>
            <w:noWrap w:val="0"/>
            <w:vAlign w:val="center"/>
          </w:tcPr>
          <w:p w14:paraId="1F8B7757">
            <w:pPr>
              <w:jc w:val="center"/>
              <w:rPr>
                <w:rFonts w:ascii="宋体" w:hAnsi="宋体"/>
              </w:rPr>
            </w:pPr>
          </w:p>
        </w:tc>
        <w:tc>
          <w:tcPr>
            <w:tcW w:w="921" w:type="dxa"/>
            <w:vMerge w:val="continue"/>
            <w:tcBorders>
              <w:top w:val="single" w:color="auto" w:sz="4" w:space="0"/>
              <w:left w:val="single" w:color="000000" w:sz="4" w:space="0"/>
              <w:right w:val="single" w:color="000000" w:sz="4" w:space="0"/>
            </w:tcBorders>
            <w:noWrap w:val="0"/>
            <w:vAlign w:val="center"/>
          </w:tcPr>
          <w:p w14:paraId="4C9AA402">
            <w:pPr>
              <w:jc w:val="center"/>
              <w:rPr>
                <w:rFonts w:hint="eastAsia" w:ascii="宋体" w:hAnsi="宋体" w:eastAsia="宋体" w:cs="宋体"/>
                <w:i w:val="0"/>
                <w:iCs w:val="0"/>
                <w:color w:val="000000"/>
                <w:sz w:val="18"/>
                <w:szCs w:val="18"/>
                <w:u w:val="none"/>
                <w:lang w:val="en-US" w:eastAsia="zh-CN"/>
              </w:rPr>
            </w:pPr>
          </w:p>
        </w:tc>
        <w:tc>
          <w:tcPr>
            <w:tcW w:w="911" w:type="dxa"/>
            <w:vMerge w:val="continue"/>
            <w:tcBorders>
              <w:top w:val="single" w:color="auto" w:sz="4" w:space="0"/>
              <w:left w:val="single" w:color="000000" w:sz="4" w:space="0"/>
              <w:right w:val="single" w:color="000000" w:sz="4" w:space="0"/>
            </w:tcBorders>
            <w:noWrap w:val="0"/>
            <w:vAlign w:val="center"/>
          </w:tcPr>
          <w:p w14:paraId="2A6B1F97">
            <w:pPr>
              <w:jc w:val="center"/>
              <w:rPr>
                <w:rFonts w:hint="eastAsia" w:ascii="宋体" w:hAnsi="宋体" w:eastAsia="宋体" w:cs="宋体"/>
                <w:i w:val="0"/>
                <w:iCs w:val="0"/>
                <w:color w:val="000000"/>
                <w:sz w:val="18"/>
                <w:szCs w:val="18"/>
                <w:u w:val="none"/>
                <w:lang w:val="en-US" w:eastAsia="zh-CN"/>
              </w:rPr>
            </w:pPr>
          </w:p>
        </w:tc>
        <w:tc>
          <w:tcPr>
            <w:tcW w:w="1020" w:type="dxa"/>
            <w:tcBorders>
              <w:top w:val="single" w:color="auto" w:sz="4" w:space="0"/>
              <w:left w:val="single" w:color="000000" w:sz="4" w:space="0"/>
              <w:bottom w:val="single" w:color="000000" w:sz="4" w:space="0"/>
              <w:right w:val="single" w:color="000000" w:sz="4" w:space="0"/>
            </w:tcBorders>
            <w:noWrap w:val="0"/>
            <w:vAlign w:val="center"/>
          </w:tcPr>
          <w:p w14:paraId="6D395BF1">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集中巡察</w:t>
            </w:r>
          </w:p>
        </w:tc>
        <w:tc>
          <w:tcPr>
            <w:tcW w:w="462" w:type="dxa"/>
            <w:tcBorders>
              <w:top w:val="single" w:color="000000" w:sz="4" w:space="0"/>
              <w:left w:val="single" w:color="000000" w:sz="4" w:space="0"/>
              <w:bottom w:val="single" w:color="000000" w:sz="4" w:space="0"/>
              <w:right w:val="single" w:color="000000" w:sz="4" w:space="0"/>
            </w:tcBorders>
            <w:noWrap w:val="0"/>
            <w:vAlign w:val="center"/>
          </w:tcPr>
          <w:p w14:paraId="7103C99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3A5B1D5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08EA69D3">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次/年</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52AC551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47790447">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1AE0FDE9">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10</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2FDF8AFD">
            <w:pPr>
              <w:jc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无</w:t>
            </w:r>
          </w:p>
        </w:tc>
      </w:tr>
      <w:tr w14:paraId="7458E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 w:hRule="atLeast"/>
        </w:trPr>
        <w:tc>
          <w:tcPr>
            <w:tcW w:w="792" w:type="dxa"/>
            <w:vMerge w:val="continue"/>
            <w:tcBorders>
              <w:top w:val="single" w:color="000000" w:sz="4" w:space="0"/>
              <w:left w:val="single" w:color="auto" w:sz="4" w:space="0"/>
              <w:bottom w:val="single" w:color="000000" w:sz="4" w:space="0"/>
              <w:right w:val="single" w:color="000000" w:sz="4" w:space="0"/>
            </w:tcBorders>
            <w:noWrap w:val="0"/>
            <w:vAlign w:val="center"/>
          </w:tcPr>
          <w:p w14:paraId="0DDBBD3F">
            <w:pPr>
              <w:jc w:val="center"/>
              <w:rPr>
                <w:rFonts w:hint="eastAsia" w:ascii="宋体" w:hAnsi="宋体" w:eastAsia="宋体" w:cs="宋体"/>
                <w:i w:val="0"/>
                <w:iCs w:val="0"/>
                <w:color w:val="000000"/>
                <w:sz w:val="21"/>
                <w:szCs w:val="21"/>
                <w:u w:val="none"/>
              </w:rPr>
            </w:pPr>
          </w:p>
        </w:tc>
        <w:tc>
          <w:tcPr>
            <w:tcW w:w="921" w:type="dxa"/>
            <w:vMerge w:val="continue"/>
            <w:tcBorders>
              <w:left w:val="single" w:color="000000" w:sz="4" w:space="0"/>
              <w:right w:val="single" w:color="000000" w:sz="4" w:space="0"/>
            </w:tcBorders>
            <w:noWrap w:val="0"/>
            <w:vAlign w:val="center"/>
          </w:tcPr>
          <w:p w14:paraId="06F73E3E">
            <w:pPr>
              <w:jc w:val="center"/>
              <w:rPr>
                <w:rFonts w:hint="eastAsia" w:ascii="宋体" w:hAnsi="宋体" w:eastAsia="宋体" w:cs="宋体"/>
                <w:i w:val="0"/>
                <w:iCs w:val="0"/>
                <w:color w:val="000000"/>
                <w:sz w:val="18"/>
                <w:szCs w:val="18"/>
                <w:u w:val="none"/>
                <w:lang w:val="en-US" w:eastAsia="zh-CN"/>
              </w:rPr>
            </w:pPr>
          </w:p>
        </w:tc>
        <w:tc>
          <w:tcPr>
            <w:tcW w:w="911" w:type="dxa"/>
            <w:vMerge w:val="continue"/>
            <w:tcBorders>
              <w:left w:val="single" w:color="000000" w:sz="4" w:space="0"/>
              <w:right w:val="single" w:color="000000" w:sz="4" w:space="0"/>
            </w:tcBorders>
            <w:noWrap w:val="0"/>
            <w:vAlign w:val="center"/>
          </w:tcPr>
          <w:p w14:paraId="3AC56C96">
            <w:pPr>
              <w:jc w:val="center"/>
              <w:rPr>
                <w:rFonts w:hint="eastAsia" w:ascii="宋体" w:hAnsi="宋体" w:eastAsia="宋体" w:cs="宋体"/>
                <w:i w:val="0"/>
                <w:iCs w:val="0"/>
                <w:color w:val="000000"/>
                <w:sz w:val="18"/>
                <w:szCs w:val="18"/>
                <w:u w:val="none"/>
                <w:lang w:val="en-US"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CD1A4C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市委统筹、提级交叉巡察</w:t>
            </w:r>
          </w:p>
        </w:tc>
        <w:tc>
          <w:tcPr>
            <w:tcW w:w="462" w:type="dxa"/>
            <w:tcBorders>
              <w:top w:val="single" w:color="000000" w:sz="4" w:space="0"/>
              <w:left w:val="single" w:color="000000" w:sz="4" w:space="0"/>
              <w:bottom w:val="single" w:color="000000" w:sz="4" w:space="0"/>
              <w:right w:val="single" w:color="000000" w:sz="4" w:space="0"/>
            </w:tcBorders>
            <w:noWrap w:val="0"/>
            <w:vAlign w:val="center"/>
          </w:tcPr>
          <w:p w14:paraId="2D592FA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47CBA76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6D9056CC">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次/年</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23DD9DD0">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1051A63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4E0B9938">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10</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5DEE6BC4">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无</w:t>
            </w:r>
          </w:p>
        </w:tc>
      </w:tr>
      <w:tr w14:paraId="5F6E0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 w:hRule="atLeast"/>
        </w:trPr>
        <w:tc>
          <w:tcPr>
            <w:tcW w:w="792" w:type="dxa"/>
            <w:vMerge w:val="continue"/>
            <w:tcBorders>
              <w:left w:val="single" w:color="auto" w:sz="4" w:space="0"/>
              <w:bottom w:val="single" w:color="000000" w:sz="4" w:space="0"/>
              <w:right w:val="single" w:color="000000" w:sz="4" w:space="0"/>
            </w:tcBorders>
            <w:noWrap w:val="0"/>
            <w:vAlign w:val="center"/>
          </w:tcPr>
          <w:p w14:paraId="190880BA">
            <w:pPr>
              <w:jc w:val="center"/>
              <w:rPr>
                <w:rFonts w:hint="eastAsia" w:ascii="宋体" w:hAnsi="宋体" w:eastAsia="宋体" w:cs="宋体"/>
                <w:i w:val="0"/>
                <w:iCs w:val="0"/>
                <w:color w:val="000000"/>
                <w:sz w:val="21"/>
                <w:szCs w:val="21"/>
                <w:u w:val="none"/>
              </w:rPr>
            </w:pPr>
          </w:p>
        </w:tc>
        <w:tc>
          <w:tcPr>
            <w:tcW w:w="921" w:type="dxa"/>
            <w:vMerge w:val="continue"/>
            <w:tcBorders>
              <w:left w:val="single" w:color="000000" w:sz="4" w:space="0"/>
              <w:right w:val="single" w:color="000000" w:sz="4" w:space="0"/>
            </w:tcBorders>
            <w:noWrap w:val="0"/>
            <w:vAlign w:val="center"/>
          </w:tcPr>
          <w:p w14:paraId="7F53736A">
            <w:pPr>
              <w:jc w:val="center"/>
              <w:rPr>
                <w:rFonts w:hint="eastAsia" w:ascii="宋体" w:hAnsi="宋体" w:eastAsia="宋体" w:cs="宋体"/>
                <w:i w:val="0"/>
                <w:iCs w:val="0"/>
                <w:color w:val="000000"/>
                <w:sz w:val="18"/>
                <w:szCs w:val="18"/>
                <w:u w:val="none"/>
                <w:lang w:val="en-US" w:eastAsia="zh-CN"/>
              </w:rPr>
            </w:pPr>
          </w:p>
        </w:tc>
        <w:tc>
          <w:tcPr>
            <w:tcW w:w="911" w:type="dxa"/>
            <w:vMerge w:val="continue"/>
            <w:tcBorders>
              <w:left w:val="single" w:color="000000" w:sz="4" w:space="0"/>
              <w:bottom w:val="single" w:color="000000" w:sz="4" w:space="0"/>
              <w:right w:val="single" w:color="000000" w:sz="4" w:space="0"/>
            </w:tcBorders>
            <w:noWrap w:val="0"/>
            <w:vAlign w:val="center"/>
          </w:tcPr>
          <w:p w14:paraId="34C309E2">
            <w:pPr>
              <w:jc w:val="center"/>
              <w:rPr>
                <w:rFonts w:hint="eastAsia" w:ascii="宋体" w:hAnsi="宋体" w:eastAsia="宋体" w:cs="宋体"/>
                <w:i w:val="0"/>
                <w:iCs w:val="0"/>
                <w:color w:val="000000"/>
                <w:sz w:val="18"/>
                <w:szCs w:val="18"/>
                <w:u w:val="none"/>
                <w:lang w:val="en-US"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8CDE18C">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全年巡察单位（部门）个数</w:t>
            </w:r>
          </w:p>
        </w:tc>
        <w:tc>
          <w:tcPr>
            <w:tcW w:w="462" w:type="dxa"/>
            <w:tcBorders>
              <w:top w:val="single" w:color="000000" w:sz="4" w:space="0"/>
              <w:left w:val="single" w:color="000000" w:sz="4" w:space="0"/>
              <w:bottom w:val="single" w:color="000000" w:sz="4" w:space="0"/>
              <w:right w:val="single" w:color="000000" w:sz="4" w:space="0"/>
            </w:tcBorders>
            <w:noWrap w:val="0"/>
            <w:vAlign w:val="center"/>
          </w:tcPr>
          <w:p w14:paraId="2988DA59">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709B238D">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36</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38F66A3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个</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7AF8161A">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44</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0EEA6D8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66B52724">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10</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47526703">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15"/>
                <w:szCs w:val="15"/>
                <w:u w:val="none"/>
                <w:lang w:val="en-US" w:eastAsia="zh-CN"/>
              </w:rPr>
              <w:t>无</w:t>
            </w:r>
          </w:p>
        </w:tc>
      </w:tr>
      <w:tr w14:paraId="7715F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792" w:type="dxa"/>
            <w:vMerge w:val="continue"/>
            <w:tcBorders>
              <w:top w:val="single" w:color="000000" w:sz="4" w:space="0"/>
              <w:left w:val="single" w:color="auto" w:sz="4" w:space="0"/>
              <w:bottom w:val="single" w:color="000000" w:sz="4" w:space="0"/>
              <w:right w:val="single" w:color="000000" w:sz="4" w:space="0"/>
            </w:tcBorders>
            <w:noWrap w:val="0"/>
            <w:vAlign w:val="center"/>
          </w:tcPr>
          <w:p w14:paraId="6A8659D3">
            <w:pPr>
              <w:jc w:val="center"/>
              <w:rPr>
                <w:rFonts w:hint="eastAsia" w:ascii="宋体" w:hAnsi="宋体" w:eastAsia="宋体" w:cs="宋体"/>
                <w:i w:val="0"/>
                <w:iCs w:val="0"/>
                <w:color w:val="000000"/>
                <w:sz w:val="21"/>
                <w:szCs w:val="21"/>
                <w:u w:val="none"/>
              </w:rPr>
            </w:pPr>
          </w:p>
        </w:tc>
        <w:tc>
          <w:tcPr>
            <w:tcW w:w="921" w:type="dxa"/>
            <w:vMerge w:val="continue"/>
            <w:tcBorders>
              <w:left w:val="single" w:color="000000" w:sz="4" w:space="0"/>
              <w:right w:val="single" w:color="000000" w:sz="4" w:space="0"/>
            </w:tcBorders>
            <w:noWrap w:val="0"/>
            <w:vAlign w:val="center"/>
          </w:tcPr>
          <w:p w14:paraId="137AE640">
            <w:pPr>
              <w:jc w:val="center"/>
              <w:rPr>
                <w:rFonts w:hint="eastAsia" w:ascii="宋体" w:hAnsi="宋体" w:eastAsia="宋体" w:cs="宋体"/>
                <w:i w:val="0"/>
                <w:iCs w:val="0"/>
                <w:color w:val="000000"/>
                <w:sz w:val="18"/>
                <w:szCs w:val="18"/>
                <w:u w:val="none"/>
                <w:lang w:val="en-US" w:eastAsia="zh-CN"/>
              </w:rPr>
            </w:pP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7F3B0D72">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质量指标</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488A8C23">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高效完成巡察工作</w:t>
            </w:r>
          </w:p>
        </w:tc>
        <w:tc>
          <w:tcPr>
            <w:tcW w:w="462" w:type="dxa"/>
            <w:tcBorders>
              <w:top w:val="single" w:color="000000" w:sz="4" w:space="0"/>
              <w:left w:val="single" w:color="000000" w:sz="4" w:space="0"/>
              <w:bottom w:val="single" w:color="000000" w:sz="4" w:space="0"/>
              <w:right w:val="single" w:color="000000" w:sz="4" w:space="0"/>
            </w:tcBorders>
            <w:noWrap w:val="0"/>
            <w:vAlign w:val="center"/>
          </w:tcPr>
          <w:p w14:paraId="31DABB7C">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定性</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54DE302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高</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64CAF773">
            <w:pPr>
              <w:jc w:val="center"/>
              <w:rPr>
                <w:rFonts w:hint="eastAsia" w:ascii="宋体" w:hAnsi="宋体" w:eastAsia="宋体" w:cs="宋体"/>
                <w:i w:val="0"/>
                <w:iCs w:val="0"/>
                <w:color w:val="000000"/>
                <w:sz w:val="18"/>
                <w:szCs w:val="18"/>
                <w:u w:val="none"/>
                <w:lang w:val="en-US" w:eastAsia="zh-CN"/>
              </w:rPr>
            </w:pP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456086C7">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高</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5E6449AB">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3F70D4AE">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10</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58D1712D">
            <w:pPr>
              <w:jc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15"/>
                <w:szCs w:val="15"/>
                <w:u w:val="none"/>
                <w:lang w:val="en-US" w:eastAsia="zh-CN"/>
              </w:rPr>
              <w:t>无</w:t>
            </w:r>
          </w:p>
        </w:tc>
      </w:tr>
      <w:tr w14:paraId="3B44B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792" w:type="dxa"/>
            <w:vMerge w:val="continue"/>
            <w:tcBorders>
              <w:top w:val="single" w:color="000000" w:sz="4" w:space="0"/>
              <w:left w:val="single" w:color="auto" w:sz="4" w:space="0"/>
              <w:bottom w:val="single" w:color="000000" w:sz="4" w:space="0"/>
              <w:right w:val="single" w:color="000000" w:sz="4" w:space="0"/>
            </w:tcBorders>
            <w:noWrap w:val="0"/>
            <w:vAlign w:val="center"/>
          </w:tcPr>
          <w:p w14:paraId="23861578">
            <w:pPr>
              <w:jc w:val="center"/>
              <w:rPr>
                <w:rFonts w:hint="eastAsia" w:ascii="宋体" w:hAnsi="宋体" w:eastAsia="宋体" w:cs="宋体"/>
                <w:i w:val="0"/>
                <w:iCs w:val="0"/>
                <w:color w:val="000000"/>
                <w:sz w:val="21"/>
                <w:szCs w:val="21"/>
                <w:u w:val="none"/>
              </w:rPr>
            </w:pPr>
          </w:p>
        </w:tc>
        <w:tc>
          <w:tcPr>
            <w:tcW w:w="921" w:type="dxa"/>
            <w:vMerge w:val="continue"/>
            <w:tcBorders>
              <w:left w:val="single" w:color="000000" w:sz="4" w:space="0"/>
              <w:bottom w:val="single" w:color="000000" w:sz="4" w:space="0"/>
              <w:right w:val="single" w:color="000000" w:sz="4" w:space="0"/>
            </w:tcBorders>
            <w:noWrap w:val="0"/>
            <w:vAlign w:val="center"/>
          </w:tcPr>
          <w:p w14:paraId="6C897568">
            <w:pPr>
              <w:jc w:val="center"/>
              <w:rPr>
                <w:rFonts w:hint="eastAsia" w:ascii="宋体" w:hAnsi="宋体" w:eastAsia="宋体" w:cs="宋体"/>
                <w:i w:val="0"/>
                <w:iCs w:val="0"/>
                <w:color w:val="000000"/>
                <w:sz w:val="18"/>
                <w:szCs w:val="18"/>
                <w:u w:val="none"/>
                <w:lang w:val="en-US" w:eastAsia="zh-CN"/>
              </w:rPr>
            </w:pP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658F235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时效指标</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4C69DC9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完成及时性</w:t>
            </w:r>
          </w:p>
        </w:tc>
        <w:tc>
          <w:tcPr>
            <w:tcW w:w="462" w:type="dxa"/>
            <w:tcBorders>
              <w:top w:val="single" w:color="000000" w:sz="4" w:space="0"/>
              <w:left w:val="single" w:color="000000" w:sz="4" w:space="0"/>
              <w:bottom w:val="single" w:color="000000" w:sz="4" w:space="0"/>
              <w:right w:val="single" w:color="000000" w:sz="4" w:space="0"/>
            </w:tcBorders>
            <w:noWrap w:val="0"/>
            <w:vAlign w:val="center"/>
          </w:tcPr>
          <w:p w14:paraId="2971F9AA">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5F46A9F2">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2854DAE7">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年</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3D0A8706">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7985FC84">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7BEEA75F">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10</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34CD9ACB">
            <w:pPr>
              <w:jc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15"/>
                <w:szCs w:val="15"/>
                <w:u w:val="none"/>
                <w:lang w:val="en-US" w:eastAsia="zh-CN"/>
              </w:rPr>
              <w:t>无</w:t>
            </w:r>
          </w:p>
        </w:tc>
      </w:tr>
      <w:tr w14:paraId="5CE0A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792" w:type="dxa"/>
            <w:vMerge w:val="continue"/>
            <w:tcBorders>
              <w:top w:val="single" w:color="000000" w:sz="4" w:space="0"/>
              <w:left w:val="single" w:color="auto" w:sz="4" w:space="0"/>
              <w:bottom w:val="single" w:color="000000" w:sz="4" w:space="0"/>
              <w:right w:val="single" w:color="000000" w:sz="4" w:space="0"/>
            </w:tcBorders>
            <w:noWrap w:val="0"/>
            <w:vAlign w:val="center"/>
          </w:tcPr>
          <w:p w14:paraId="2AA6E82D">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4815C85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效益指标</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194E083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可持续影响指标</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9F6970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各级党组织的创造力、凝聚力、战斗力不断增强</w:t>
            </w:r>
          </w:p>
        </w:tc>
        <w:tc>
          <w:tcPr>
            <w:tcW w:w="462" w:type="dxa"/>
            <w:tcBorders>
              <w:top w:val="single" w:color="000000" w:sz="4" w:space="0"/>
              <w:left w:val="single" w:color="000000" w:sz="4" w:space="0"/>
              <w:bottom w:val="single" w:color="000000" w:sz="4" w:space="0"/>
              <w:right w:val="single" w:color="000000" w:sz="4" w:space="0"/>
            </w:tcBorders>
            <w:noWrap w:val="0"/>
            <w:vAlign w:val="center"/>
          </w:tcPr>
          <w:p w14:paraId="2CC0B09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定性</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5F86B9F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好</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4B5DD0EF">
            <w:pPr>
              <w:jc w:val="center"/>
              <w:rPr>
                <w:rFonts w:hint="eastAsia" w:ascii="宋体" w:hAnsi="宋体" w:eastAsia="宋体" w:cs="宋体"/>
                <w:i w:val="0"/>
                <w:iCs w:val="0"/>
                <w:color w:val="000000"/>
                <w:sz w:val="18"/>
                <w:szCs w:val="18"/>
                <w:u w:val="none"/>
                <w:lang w:val="en-US" w:eastAsia="zh-CN"/>
              </w:rPr>
            </w:pP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24C8B60B">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好</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1A820639">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78B52DC5">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20</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7A1DF1ED">
            <w:pPr>
              <w:jc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15"/>
                <w:szCs w:val="15"/>
                <w:u w:val="none"/>
                <w:lang w:val="en-US" w:eastAsia="zh-CN"/>
              </w:rPr>
              <w:t>无</w:t>
            </w:r>
          </w:p>
        </w:tc>
      </w:tr>
      <w:tr w14:paraId="79A82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792" w:type="dxa"/>
            <w:vMerge w:val="continue"/>
            <w:tcBorders>
              <w:top w:val="single" w:color="000000" w:sz="4" w:space="0"/>
              <w:left w:val="single" w:color="auto" w:sz="4" w:space="0"/>
              <w:bottom w:val="single" w:color="000000" w:sz="4" w:space="0"/>
              <w:right w:val="single" w:color="000000" w:sz="4" w:space="0"/>
            </w:tcBorders>
            <w:noWrap w:val="0"/>
            <w:vAlign w:val="center"/>
          </w:tcPr>
          <w:p w14:paraId="60F765CB">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52F6B47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满意度指标</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25E9F187">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服务对象满意度指标</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5463537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社会满意度、党员干部满意度</w:t>
            </w:r>
          </w:p>
        </w:tc>
        <w:tc>
          <w:tcPr>
            <w:tcW w:w="462" w:type="dxa"/>
            <w:tcBorders>
              <w:top w:val="single" w:color="000000" w:sz="4" w:space="0"/>
              <w:left w:val="single" w:color="000000" w:sz="4" w:space="0"/>
              <w:bottom w:val="single" w:color="000000" w:sz="4" w:space="0"/>
              <w:right w:val="single" w:color="000000" w:sz="4" w:space="0"/>
            </w:tcBorders>
            <w:noWrap w:val="0"/>
            <w:vAlign w:val="center"/>
          </w:tcPr>
          <w:p w14:paraId="1EF9ADE3">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17DDD05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90</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4874D90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1C2F6E5D">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90</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61B55B03">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4E9D0259">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5</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12F0941A">
            <w:pPr>
              <w:jc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15"/>
                <w:szCs w:val="15"/>
                <w:u w:val="none"/>
                <w:lang w:val="en-US" w:eastAsia="zh-CN"/>
              </w:rPr>
              <w:t>无</w:t>
            </w:r>
          </w:p>
        </w:tc>
      </w:tr>
      <w:tr w14:paraId="634AD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792" w:type="dxa"/>
            <w:vMerge w:val="continue"/>
            <w:tcBorders>
              <w:top w:val="single" w:color="000000" w:sz="4" w:space="0"/>
              <w:left w:val="single" w:color="auto" w:sz="4" w:space="0"/>
              <w:bottom w:val="single" w:color="000000" w:sz="4" w:space="0"/>
              <w:right w:val="single" w:color="000000" w:sz="4" w:space="0"/>
            </w:tcBorders>
            <w:noWrap w:val="0"/>
            <w:vAlign w:val="center"/>
          </w:tcPr>
          <w:p w14:paraId="7E62C3DF">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5FCAFFF7">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成本指标</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5FB8F0C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经济成本指标</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0613E71">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项目支出成本节约率</w:t>
            </w:r>
          </w:p>
        </w:tc>
        <w:tc>
          <w:tcPr>
            <w:tcW w:w="462" w:type="dxa"/>
            <w:tcBorders>
              <w:top w:val="single" w:color="000000" w:sz="4" w:space="0"/>
              <w:left w:val="single" w:color="000000" w:sz="4" w:space="0"/>
              <w:bottom w:val="single" w:color="000000" w:sz="4" w:space="0"/>
              <w:right w:val="single" w:color="000000" w:sz="4" w:space="0"/>
            </w:tcBorders>
            <w:noWrap w:val="0"/>
            <w:vAlign w:val="center"/>
          </w:tcPr>
          <w:p w14:paraId="047E989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60029389">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14:paraId="10FC9FA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5013786D">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5BEFDF7B">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7ABFAEDA">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5</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2735C9B5">
            <w:pPr>
              <w:jc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15"/>
                <w:szCs w:val="15"/>
                <w:u w:val="none"/>
                <w:lang w:val="en-US" w:eastAsia="zh-CN"/>
              </w:rPr>
              <w:t>无</w:t>
            </w:r>
          </w:p>
        </w:tc>
      </w:tr>
      <w:tr w14:paraId="3A431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6144" w:type="dxa"/>
            <w:gridSpan w:val="8"/>
            <w:tcBorders>
              <w:top w:val="single" w:color="000000" w:sz="4" w:space="0"/>
              <w:left w:val="single" w:color="000000" w:sz="4" w:space="0"/>
              <w:bottom w:val="single" w:color="000000" w:sz="4" w:space="0"/>
              <w:right w:val="single" w:color="000000" w:sz="4" w:space="0"/>
            </w:tcBorders>
            <w:noWrap w:val="0"/>
            <w:vAlign w:val="center"/>
          </w:tcPr>
          <w:p w14:paraId="12A0844F">
            <w:pPr>
              <w:jc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合计</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14:paraId="4DB8EEBF">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100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47714D47">
            <w:pPr>
              <w:jc w:val="center"/>
              <w:rPr>
                <w:rFonts w:hint="default"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100</w:t>
            </w:r>
          </w:p>
        </w:tc>
        <w:tc>
          <w:tcPr>
            <w:tcW w:w="1884" w:type="dxa"/>
            <w:tcBorders>
              <w:top w:val="single" w:color="000000" w:sz="4" w:space="0"/>
              <w:left w:val="single" w:color="000000" w:sz="4" w:space="0"/>
              <w:bottom w:val="single" w:color="000000" w:sz="4" w:space="0"/>
              <w:right w:val="single" w:color="000000" w:sz="4" w:space="0"/>
            </w:tcBorders>
            <w:noWrap w:val="0"/>
            <w:vAlign w:val="center"/>
          </w:tcPr>
          <w:p w14:paraId="18CF7E5A">
            <w:pPr>
              <w:rPr>
                <w:rFonts w:hint="eastAsia" w:ascii="宋体" w:hAnsi="宋体" w:eastAsia="宋体" w:cs="宋体"/>
                <w:i w:val="0"/>
                <w:iCs w:val="0"/>
                <w:color w:val="000000"/>
                <w:sz w:val="21"/>
                <w:szCs w:val="21"/>
                <w:u w:val="none"/>
              </w:rPr>
            </w:pPr>
          </w:p>
        </w:tc>
      </w:tr>
      <w:tr w14:paraId="68103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92" w:type="dxa"/>
            <w:tcBorders>
              <w:top w:val="single" w:color="000000" w:sz="4" w:space="0"/>
              <w:left w:val="single" w:color="000000" w:sz="4" w:space="0"/>
              <w:bottom w:val="single" w:color="000000" w:sz="4" w:space="0"/>
              <w:right w:val="single" w:color="000000" w:sz="4" w:space="0"/>
            </w:tcBorders>
            <w:noWrap w:val="0"/>
            <w:vAlign w:val="center"/>
          </w:tcPr>
          <w:p w14:paraId="47546D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评价结论</w:t>
            </w:r>
          </w:p>
        </w:tc>
        <w:tc>
          <w:tcPr>
            <w:tcW w:w="8223" w:type="dxa"/>
            <w:gridSpan w:val="10"/>
            <w:tcBorders>
              <w:top w:val="single" w:color="000000" w:sz="4" w:space="0"/>
              <w:left w:val="single" w:color="000000" w:sz="4" w:space="0"/>
              <w:bottom w:val="single" w:color="000000" w:sz="4" w:space="0"/>
              <w:right w:val="single" w:color="000000" w:sz="4" w:space="0"/>
            </w:tcBorders>
            <w:noWrap w:val="0"/>
            <w:vAlign w:val="center"/>
          </w:tcPr>
          <w:p w14:paraId="7121D13A">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按照《安岳县财政支出绩效评价管理办法》规定，本着客观、真实、准确的原则开展项目支出绩效自评，经过综合评价，得分为100分，财政支出绩效为“优”。</w:t>
            </w:r>
          </w:p>
        </w:tc>
      </w:tr>
      <w:tr w14:paraId="2D464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92" w:type="dxa"/>
            <w:tcBorders>
              <w:top w:val="single" w:color="000000" w:sz="4" w:space="0"/>
              <w:left w:val="single" w:color="000000" w:sz="4" w:space="0"/>
              <w:bottom w:val="single" w:color="000000" w:sz="4" w:space="0"/>
              <w:right w:val="single" w:color="000000" w:sz="4" w:space="0"/>
            </w:tcBorders>
            <w:noWrap w:val="0"/>
            <w:vAlign w:val="center"/>
          </w:tcPr>
          <w:p w14:paraId="45D048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存在问题</w:t>
            </w:r>
          </w:p>
        </w:tc>
        <w:tc>
          <w:tcPr>
            <w:tcW w:w="8223" w:type="dxa"/>
            <w:gridSpan w:val="10"/>
            <w:tcBorders>
              <w:top w:val="single" w:color="000000" w:sz="4" w:space="0"/>
              <w:left w:val="single" w:color="000000" w:sz="4" w:space="0"/>
              <w:bottom w:val="single" w:color="000000" w:sz="4" w:space="0"/>
              <w:right w:val="single" w:color="000000" w:sz="4" w:space="0"/>
            </w:tcBorders>
            <w:noWrap w:val="0"/>
            <w:vAlign w:val="center"/>
          </w:tcPr>
          <w:p w14:paraId="66E541C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1.绩效指标设置方向、内容、指标选用等方面有待进一步完善和细化。</w:t>
            </w:r>
          </w:p>
          <w:p w14:paraId="2A97F7A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2.由于财政资金到位不及时，存在资金拖欠现象。</w:t>
            </w:r>
          </w:p>
          <w:p w14:paraId="2224FEA6">
            <w:pPr>
              <w:keepNext w:val="0"/>
              <w:keepLines w:val="0"/>
              <w:widowControl/>
              <w:suppressLineNumbers w:val="0"/>
              <w:jc w:val="left"/>
              <w:textAlignment w:val="center"/>
              <w:rPr>
                <w:rFonts w:hint="eastAsia" w:ascii="宋体" w:hAnsi="宋体" w:eastAsia="宋体" w:cs="宋体"/>
                <w:i/>
                <w:iCs/>
                <w:color w:val="000000"/>
                <w:sz w:val="21"/>
                <w:szCs w:val="21"/>
                <w:u w:val="none"/>
              </w:rPr>
            </w:pPr>
          </w:p>
        </w:tc>
      </w:tr>
      <w:tr w14:paraId="13AC0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792" w:type="dxa"/>
            <w:tcBorders>
              <w:top w:val="single" w:color="000000" w:sz="4" w:space="0"/>
              <w:left w:val="single" w:color="000000" w:sz="4" w:space="0"/>
              <w:bottom w:val="single" w:color="000000" w:sz="4" w:space="0"/>
              <w:right w:val="single" w:color="000000" w:sz="4" w:space="0"/>
            </w:tcBorders>
            <w:noWrap w:val="0"/>
            <w:vAlign w:val="center"/>
          </w:tcPr>
          <w:p w14:paraId="0D8729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改进措施</w:t>
            </w:r>
          </w:p>
        </w:tc>
        <w:tc>
          <w:tcPr>
            <w:tcW w:w="8223" w:type="dxa"/>
            <w:gridSpan w:val="10"/>
            <w:tcBorders>
              <w:top w:val="single" w:color="000000" w:sz="4" w:space="0"/>
              <w:left w:val="single" w:color="000000" w:sz="4" w:space="0"/>
              <w:bottom w:val="single" w:color="000000" w:sz="4" w:space="0"/>
              <w:right w:val="single" w:color="000000" w:sz="4" w:space="0"/>
            </w:tcBorders>
            <w:noWrap w:val="0"/>
            <w:vAlign w:val="center"/>
          </w:tcPr>
          <w:p w14:paraId="6ACD38F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1.规范绩效目标编制，科学选定指标，合理设定绩效指标值。</w:t>
            </w:r>
          </w:p>
          <w:p w14:paraId="48F8A532">
            <w:pPr>
              <w:keepNext w:val="0"/>
              <w:keepLines w:val="0"/>
              <w:widowControl/>
              <w:suppressLineNumbers w:val="0"/>
              <w:jc w:val="lef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2.进一步加强预算绩效管理常态化建设，加强与财政沟通对接，保障项目资金及时足额拨付到位。</w:t>
            </w:r>
          </w:p>
          <w:p w14:paraId="6A9F0829">
            <w:pPr>
              <w:keepNext w:val="0"/>
              <w:keepLines w:val="0"/>
              <w:widowControl/>
              <w:suppressLineNumbers w:val="0"/>
              <w:jc w:val="left"/>
              <w:textAlignment w:val="center"/>
              <w:rPr>
                <w:rFonts w:hint="eastAsia" w:ascii="宋体" w:hAnsi="宋体" w:eastAsia="宋体" w:cs="宋体"/>
                <w:i/>
                <w:iCs/>
                <w:color w:val="000000"/>
                <w:sz w:val="21"/>
                <w:szCs w:val="21"/>
                <w:u w:val="none"/>
              </w:rPr>
            </w:pPr>
          </w:p>
        </w:tc>
      </w:tr>
      <w:tr w14:paraId="024A6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4106" w:type="dxa"/>
            <w:gridSpan w:val="5"/>
            <w:tcBorders>
              <w:top w:val="single" w:color="000000" w:sz="4" w:space="0"/>
              <w:left w:val="single" w:color="000000" w:sz="4" w:space="0"/>
              <w:bottom w:val="single" w:color="000000" w:sz="4" w:space="0"/>
              <w:right w:val="single" w:color="000000" w:sz="4" w:space="0"/>
            </w:tcBorders>
            <w:noWrap w:val="0"/>
            <w:vAlign w:val="center"/>
          </w:tcPr>
          <w:p w14:paraId="2DBE2E0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项目负责人：</w:t>
            </w:r>
          </w:p>
        </w:tc>
        <w:tc>
          <w:tcPr>
            <w:tcW w:w="4909" w:type="dxa"/>
            <w:gridSpan w:val="6"/>
            <w:tcBorders>
              <w:top w:val="single" w:color="000000" w:sz="4" w:space="0"/>
              <w:left w:val="single" w:color="000000" w:sz="4" w:space="0"/>
              <w:bottom w:val="single" w:color="000000" w:sz="4" w:space="0"/>
              <w:right w:val="single" w:color="000000" w:sz="4" w:space="0"/>
            </w:tcBorders>
            <w:noWrap w:val="0"/>
            <w:vAlign w:val="center"/>
          </w:tcPr>
          <w:p w14:paraId="1CEB196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财务负责人：</w:t>
            </w:r>
          </w:p>
        </w:tc>
      </w:tr>
    </w:tbl>
    <w:p w14:paraId="29707A9C">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宋体" w:hAnsi="宋体" w:eastAsia="方正仿宋_GBK" w:cs="Times New Roman"/>
          <w:lang w:val="en-US" w:eastAsia="zh-CN"/>
        </w:rPr>
      </w:pPr>
    </w:p>
    <w:p w14:paraId="258660F5">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br w:type="page"/>
      </w:r>
    </w:p>
    <w:p w14:paraId="17EA2B36">
      <w:pPr>
        <w:pStyle w:val="3"/>
        <w:keepNext/>
        <w:keepLines/>
        <w:pageBreakBefore w:val="0"/>
        <w:widowControl w:val="0"/>
        <w:numPr>
          <w:ilvl w:val="0"/>
          <w:numId w:val="0"/>
        </w:numPr>
        <w:kinsoku/>
        <w:wordWrap/>
        <w:overflowPunct/>
        <w:topLinePunct w:val="0"/>
        <w:autoSpaceDE/>
        <w:autoSpaceDN/>
        <w:bidi w:val="0"/>
        <w:adjustRightInd/>
        <w:snapToGrid/>
        <w:spacing w:before="0" w:after="0" w:line="660" w:lineRule="exact"/>
        <w:jc w:val="center"/>
        <w:textAlignment w:val="auto"/>
        <w:rPr>
          <w:rFonts w:hint="eastAsia" w:ascii="Times New Roman" w:hAnsi="Times New Roman" w:eastAsia="方正小标宋简体" w:cs="方正小标宋简体"/>
          <w:b w:val="0"/>
          <w:bCs w:val="0"/>
          <w:color w:val="auto"/>
          <w:kern w:val="44"/>
          <w:sz w:val="44"/>
          <w:szCs w:val="44"/>
          <w:lang w:val="en-US" w:eastAsia="zh-CN" w:bidi="ar-SA"/>
        </w:rPr>
      </w:pPr>
      <w:bookmarkStart w:id="68" w:name="_Toc24804"/>
      <w:r>
        <w:rPr>
          <w:rFonts w:hint="eastAsia" w:ascii="Times New Roman" w:hAnsi="Times New Roman" w:eastAsia="方正小标宋简体" w:cs="方正小标宋简体"/>
          <w:b w:val="0"/>
          <w:bCs w:val="0"/>
          <w:color w:val="auto"/>
          <w:kern w:val="44"/>
          <w:sz w:val="44"/>
          <w:szCs w:val="44"/>
          <w:lang w:val="en-US" w:eastAsia="zh-CN" w:bidi="ar-SA"/>
        </w:rPr>
        <w:t>第五部分 附表</w:t>
      </w:r>
      <w:bookmarkEnd w:id="65"/>
      <w:bookmarkEnd w:id="67"/>
      <w:bookmarkEnd w:id="68"/>
      <w:bookmarkStart w:id="69" w:name="_Toc15396619"/>
    </w:p>
    <w:p w14:paraId="4CAFDE92">
      <w:pPr>
        <w:pStyle w:val="3"/>
        <w:keepNext/>
        <w:keepLines/>
        <w:pageBreakBefore w:val="0"/>
        <w:widowControl w:val="0"/>
        <w:numPr>
          <w:ilvl w:val="0"/>
          <w:numId w:val="0"/>
        </w:numPr>
        <w:kinsoku/>
        <w:wordWrap/>
        <w:overflowPunct/>
        <w:topLinePunct w:val="0"/>
        <w:autoSpaceDE/>
        <w:autoSpaceDN/>
        <w:bidi w:val="0"/>
        <w:adjustRightInd/>
        <w:snapToGrid/>
        <w:spacing w:before="0" w:after="0" w:line="660" w:lineRule="exact"/>
        <w:jc w:val="center"/>
        <w:textAlignment w:val="auto"/>
        <w:rPr>
          <w:rFonts w:hint="eastAsia" w:ascii="Times New Roman" w:hAnsi="Times New Roman" w:eastAsia="方正小标宋简体" w:cs="方正小标宋简体"/>
          <w:b w:val="0"/>
          <w:bCs w:val="0"/>
          <w:color w:val="auto"/>
          <w:kern w:val="44"/>
          <w:sz w:val="44"/>
          <w:szCs w:val="44"/>
          <w:lang w:val="en-US" w:eastAsia="zh-CN" w:bidi="ar-SA"/>
        </w:rPr>
      </w:pPr>
    </w:p>
    <w:p w14:paraId="2775D540">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70" w:name="_Toc15510"/>
      <w:r>
        <w:rPr>
          <w:rFonts w:hint="eastAsia" w:ascii="宋体" w:hAnsi="宋体" w:eastAsia="方正黑体简体" w:cs="方正黑体简体"/>
          <w:b w:val="0"/>
          <w:bCs/>
          <w:color w:val="auto"/>
          <w:kern w:val="2"/>
          <w:sz w:val="32"/>
          <w:szCs w:val="32"/>
          <w:lang w:val="en-US" w:eastAsia="zh-CN" w:bidi="ar-SA"/>
        </w:rPr>
        <w:t>一、收入支出决算总表</w:t>
      </w:r>
      <w:bookmarkEnd w:id="69"/>
      <w:bookmarkEnd w:id="70"/>
    </w:p>
    <w:p w14:paraId="00D7C08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71" w:name="_Toc31297"/>
      <w:bookmarkStart w:id="72" w:name="_Toc15396620"/>
      <w:r>
        <w:rPr>
          <w:rFonts w:hint="eastAsia" w:ascii="宋体" w:hAnsi="宋体" w:eastAsia="方正黑体简体" w:cs="方正黑体简体"/>
          <w:b w:val="0"/>
          <w:bCs/>
          <w:color w:val="auto"/>
          <w:kern w:val="2"/>
          <w:sz w:val="32"/>
          <w:szCs w:val="32"/>
          <w:lang w:val="en-US" w:eastAsia="zh-CN" w:bidi="ar-SA"/>
        </w:rPr>
        <w:t>二、收入决算表</w:t>
      </w:r>
      <w:bookmarkEnd w:id="71"/>
      <w:bookmarkEnd w:id="72"/>
    </w:p>
    <w:p w14:paraId="5FAB433B">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73" w:name="_Toc32298"/>
      <w:bookmarkStart w:id="74" w:name="_Toc15396621"/>
      <w:r>
        <w:rPr>
          <w:rFonts w:hint="eastAsia" w:ascii="宋体" w:hAnsi="宋体" w:eastAsia="方正黑体简体" w:cs="方正黑体简体"/>
          <w:b w:val="0"/>
          <w:bCs/>
          <w:color w:val="auto"/>
          <w:kern w:val="2"/>
          <w:sz w:val="32"/>
          <w:szCs w:val="32"/>
          <w:lang w:val="en-US" w:eastAsia="zh-CN" w:bidi="ar-SA"/>
        </w:rPr>
        <w:t>三、支出决算表</w:t>
      </w:r>
      <w:bookmarkEnd w:id="73"/>
      <w:bookmarkEnd w:id="74"/>
    </w:p>
    <w:p w14:paraId="3BC58158">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75" w:name="_Toc15396622"/>
      <w:bookmarkStart w:id="76" w:name="_Toc28194"/>
      <w:r>
        <w:rPr>
          <w:rFonts w:hint="eastAsia" w:ascii="宋体" w:hAnsi="宋体" w:eastAsia="方正黑体简体" w:cs="方正黑体简体"/>
          <w:b w:val="0"/>
          <w:bCs/>
          <w:color w:val="auto"/>
          <w:kern w:val="2"/>
          <w:sz w:val="32"/>
          <w:szCs w:val="32"/>
          <w:lang w:val="en-US" w:eastAsia="zh-CN" w:bidi="ar-SA"/>
        </w:rPr>
        <w:t>四、财政拨款收入支出决算总表</w:t>
      </w:r>
      <w:bookmarkEnd w:id="75"/>
      <w:bookmarkEnd w:id="76"/>
    </w:p>
    <w:p w14:paraId="5AAFC498">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77" w:name="_Toc21457"/>
      <w:bookmarkStart w:id="78" w:name="_Toc15396623"/>
      <w:r>
        <w:rPr>
          <w:rFonts w:hint="eastAsia" w:ascii="宋体" w:hAnsi="宋体" w:eastAsia="方正黑体简体" w:cs="方正黑体简体"/>
          <w:b w:val="0"/>
          <w:bCs/>
          <w:color w:val="auto"/>
          <w:kern w:val="2"/>
          <w:sz w:val="32"/>
          <w:szCs w:val="32"/>
          <w:lang w:val="en-US" w:eastAsia="zh-CN" w:bidi="ar-SA"/>
        </w:rPr>
        <w:t>五、财政拨款支出决算明细表</w:t>
      </w:r>
      <w:bookmarkEnd w:id="77"/>
      <w:bookmarkEnd w:id="78"/>
      <w:bookmarkStart w:id="79" w:name="_Toc15396624"/>
    </w:p>
    <w:p w14:paraId="1CCDFA06">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80" w:name="_Toc18411"/>
      <w:r>
        <w:rPr>
          <w:rFonts w:hint="eastAsia" w:ascii="宋体" w:hAnsi="宋体" w:eastAsia="方正黑体简体" w:cs="方正黑体简体"/>
          <w:b w:val="0"/>
          <w:bCs/>
          <w:color w:val="auto"/>
          <w:kern w:val="2"/>
          <w:sz w:val="32"/>
          <w:szCs w:val="32"/>
          <w:lang w:val="en-US" w:eastAsia="zh-CN" w:bidi="ar-SA"/>
        </w:rPr>
        <w:t>六、一般公共预算财政拨款支出决算表</w:t>
      </w:r>
      <w:bookmarkEnd w:id="79"/>
      <w:bookmarkEnd w:id="80"/>
    </w:p>
    <w:p w14:paraId="422C834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81" w:name="_Toc15396625"/>
      <w:bookmarkStart w:id="82" w:name="_Toc27228"/>
      <w:r>
        <w:rPr>
          <w:rFonts w:hint="eastAsia" w:ascii="宋体" w:hAnsi="宋体" w:eastAsia="方正黑体简体" w:cs="方正黑体简体"/>
          <w:b w:val="0"/>
          <w:bCs/>
          <w:color w:val="auto"/>
          <w:kern w:val="2"/>
          <w:sz w:val="32"/>
          <w:szCs w:val="32"/>
          <w:lang w:val="en-US" w:eastAsia="zh-CN" w:bidi="ar-SA"/>
        </w:rPr>
        <w:t>七、一般公共预算财政拨款支出决算明细表</w:t>
      </w:r>
      <w:bookmarkEnd w:id="81"/>
      <w:bookmarkEnd w:id="82"/>
    </w:p>
    <w:p w14:paraId="320D03F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83" w:name="_Toc31806"/>
      <w:bookmarkStart w:id="84" w:name="_Toc15396626"/>
      <w:r>
        <w:rPr>
          <w:rFonts w:hint="eastAsia" w:ascii="宋体" w:hAnsi="宋体" w:eastAsia="方正黑体简体" w:cs="方正黑体简体"/>
          <w:b w:val="0"/>
          <w:bCs/>
          <w:color w:val="auto"/>
          <w:kern w:val="2"/>
          <w:sz w:val="32"/>
          <w:szCs w:val="32"/>
          <w:lang w:val="en-US" w:eastAsia="zh-CN" w:bidi="ar-SA"/>
        </w:rPr>
        <w:t>八、一般公共预算财政拨款基本支出决算表</w:t>
      </w:r>
      <w:bookmarkEnd w:id="83"/>
      <w:bookmarkEnd w:id="84"/>
    </w:p>
    <w:p w14:paraId="77FF953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85" w:name="_Toc15396627"/>
      <w:bookmarkStart w:id="86" w:name="_Toc15018"/>
      <w:r>
        <w:rPr>
          <w:rFonts w:hint="eastAsia" w:ascii="宋体" w:hAnsi="宋体" w:eastAsia="方正黑体简体" w:cs="方正黑体简体"/>
          <w:b w:val="0"/>
          <w:bCs/>
          <w:color w:val="auto"/>
          <w:kern w:val="2"/>
          <w:sz w:val="32"/>
          <w:szCs w:val="32"/>
          <w:lang w:val="en-US" w:eastAsia="zh-CN" w:bidi="ar-SA"/>
        </w:rPr>
        <w:t>九、一般公共预算财政拨款项目支出决算表</w:t>
      </w:r>
      <w:bookmarkEnd w:id="85"/>
      <w:bookmarkEnd w:id="86"/>
    </w:p>
    <w:p w14:paraId="52DFC9E1">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87" w:name="_Toc15396628"/>
      <w:bookmarkStart w:id="88" w:name="_Toc17436"/>
      <w:r>
        <w:rPr>
          <w:rFonts w:hint="eastAsia" w:ascii="宋体" w:hAnsi="宋体" w:eastAsia="方正黑体简体" w:cs="方正黑体简体"/>
          <w:b w:val="0"/>
          <w:bCs/>
          <w:color w:val="auto"/>
          <w:kern w:val="2"/>
          <w:sz w:val="32"/>
          <w:szCs w:val="32"/>
          <w:lang w:val="en-US" w:eastAsia="zh-CN" w:bidi="ar-SA"/>
        </w:rPr>
        <w:t>十、</w:t>
      </w:r>
      <w:bookmarkEnd w:id="87"/>
      <w:r>
        <w:rPr>
          <w:rFonts w:hint="eastAsia" w:ascii="宋体" w:hAnsi="宋体" w:eastAsia="方正黑体简体" w:cs="方正黑体简体"/>
          <w:b w:val="0"/>
          <w:bCs/>
          <w:color w:val="auto"/>
          <w:kern w:val="2"/>
          <w:sz w:val="32"/>
          <w:szCs w:val="32"/>
          <w:lang w:val="en-US" w:eastAsia="zh-CN" w:bidi="ar-SA"/>
        </w:rPr>
        <w:t>政府性基金预算财政拨款收入支出决算表</w:t>
      </w:r>
      <w:bookmarkEnd w:id="88"/>
    </w:p>
    <w:p w14:paraId="1EB7F3CB">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89" w:name="_Toc15396629"/>
      <w:bookmarkStart w:id="90" w:name="_Toc14036"/>
      <w:r>
        <w:rPr>
          <w:rFonts w:hint="eastAsia" w:ascii="宋体" w:hAnsi="宋体" w:eastAsia="方正黑体简体" w:cs="方正黑体简体"/>
          <w:b w:val="0"/>
          <w:bCs/>
          <w:color w:val="auto"/>
          <w:kern w:val="2"/>
          <w:sz w:val="32"/>
          <w:szCs w:val="32"/>
          <w:lang w:val="en-US" w:eastAsia="zh-CN" w:bidi="ar-SA"/>
        </w:rPr>
        <w:t>十一、</w:t>
      </w:r>
      <w:bookmarkEnd w:id="89"/>
      <w:r>
        <w:rPr>
          <w:rFonts w:hint="eastAsia" w:ascii="宋体" w:hAnsi="宋体" w:eastAsia="方正黑体简体" w:cs="方正黑体简体"/>
          <w:b w:val="0"/>
          <w:bCs/>
          <w:color w:val="auto"/>
          <w:kern w:val="2"/>
          <w:sz w:val="32"/>
          <w:szCs w:val="32"/>
          <w:lang w:val="en-US" w:eastAsia="zh-CN" w:bidi="ar-SA"/>
        </w:rPr>
        <w:t>国有资本经营预算财政拨款收入支出决算表</w:t>
      </w:r>
      <w:bookmarkEnd w:id="90"/>
    </w:p>
    <w:p w14:paraId="23E50C7D">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91" w:name="_Toc15396630"/>
      <w:bookmarkStart w:id="92" w:name="_Toc23022"/>
      <w:r>
        <w:rPr>
          <w:rFonts w:hint="eastAsia" w:ascii="宋体" w:hAnsi="宋体" w:eastAsia="方正黑体简体" w:cs="方正黑体简体"/>
          <w:b w:val="0"/>
          <w:bCs/>
          <w:color w:val="auto"/>
          <w:kern w:val="2"/>
          <w:sz w:val="32"/>
          <w:szCs w:val="32"/>
          <w:lang w:val="en-US" w:eastAsia="zh-CN" w:bidi="ar-SA"/>
        </w:rPr>
        <w:t>十二、</w:t>
      </w:r>
      <w:bookmarkEnd w:id="91"/>
      <w:r>
        <w:rPr>
          <w:rFonts w:hint="eastAsia" w:ascii="宋体" w:hAnsi="宋体" w:eastAsia="方正黑体简体" w:cs="方正黑体简体"/>
          <w:b w:val="0"/>
          <w:bCs/>
          <w:color w:val="auto"/>
          <w:kern w:val="2"/>
          <w:sz w:val="32"/>
          <w:szCs w:val="32"/>
          <w:lang w:val="en-US" w:eastAsia="zh-CN" w:bidi="ar-SA"/>
        </w:rPr>
        <w:t>国有资本经营预算财政拨款支出决算表</w:t>
      </w:r>
      <w:bookmarkEnd w:id="92"/>
    </w:p>
    <w:p w14:paraId="3E5F2E8D">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1"/>
        <w:rPr>
          <w:rFonts w:hint="eastAsia" w:ascii="宋体" w:hAnsi="宋体" w:eastAsia="方正黑体简体" w:cs="方正黑体简体"/>
          <w:b w:val="0"/>
          <w:bCs/>
          <w:color w:val="auto"/>
          <w:kern w:val="2"/>
          <w:sz w:val="32"/>
          <w:szCs w:val="32"/>
          <w:lang w:val="en-US" w:eastAsia="zh-CN" w:bidi="ar-SA"/>
        </w:rPr>
      </w:pPr>
      <w:bookmarkStart w:id="93" w:name="_Toc15396631"/>
      <w:bookmarkStart w:id="94" w:name="_Toc17804"/>
      <w:r>
        <w:rPr>
          <w:rFonts w:hint="eastAsia" w:ascii="宋体" w:hAnsi="宋体" w:eastAsia="方正黑体简体" w:cs="方正黑体简体"/>
          <w:b w:val="0"/>
          <w:bCs/>
          <w:color w:val="auto"/>
          <w:kern w:val="2"/>
          <w:sz w:val="32"/>
          <w:szCs w:val="32"/>
          <w:lang w:val="en-US" w:eastAsia="zh-CN" w:bidi="ar-SA"/>
        </w:rPr>
        <w:t>十三、</w:t>
      </w:r>
      <w:bookmarkEnd w:id="93"/>
      <w:r>
        <w:rPr>
          <w:rFonts w:hint="eastAsia" w:ascii="宋体" w:hAnsi="宋体" w:eastAsia="方正黑体简体" w:cs="方正黑体简体"/>
          <w:b w:val="0"/>
          <w:bCs/>
          <w:color w:val="auto"/>
          <w:kern w:val="2"/>
          <w:sz w:val="32"/>
          <w:szCs w:val="32"/>
          <w:lang w:val="en-US" w:eastAsia="zh-CN" w:bidi="ar-SA"/>
        </w:rPr>
        <w:t>财政拨款“三公”经费支出决算表</w:t>
      </w:r>
      <w:bookmarkEnd w:id="94"/>
    </w:p>
    <w:p w14:paraId="71841C44">
      <w:pPr>
        <w:rPr>
          <w:rFonts w:hint="eastAsia" w:ascii="Times New Roman" w:hAnsi="Times New Roman"/>
          <w:highlight w:val="none"/>
          <w:lang w:eastAsia="zh-CN"/>
        </w:rPr>
      </w:pPr>
    </w:p>
    <w:sectPr>
      <w:footerReference r:id="rId6" w:type="first"/>
      <w:footerReference r:id="rId5" w:type="default"/>
      <w:pgSz w:w="11906" w:h="16838"/>
      <w:pgMar w:top="2154" w:right="1474" w:bottom="1814" w:left="1587" w:header="851" w:footer="1417"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A1BBC">
    <w:pPr>
      <w:pStyle w:val="11"/>
      <w:jc w:val="center"/>
    </w:pPr>
  </w:p>
  <w:p w14:paraId="4A50AE81">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398DA">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B60B00">
                          <w:pPr>
                            <w:pStyle w:val="11"/>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AB60B00">
                    <w:pPr>
                      <w:pStyle w:val="11"/>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p w14:paraId="5371CF07">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01D57">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41465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4146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CC2962">
                          <w:pPr>
                            <w:pStyle w:val="11"/>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32.65pt;width:144pt;mso-position-horizontal:outside;mso-position-horizontal-relative:margin;mso-wrap-style:none;z-index:251661312;mso-width-relative:page;mso-height-relative:page;" filled="f" stroked="f" coordsize="21600,21600" o:gfxdata="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EMXXX7UAAAABAEAAA8AAAAAAAAAAQAgAAAAIgAAAGRycy9kb3ducmV2Lnht&#10;bFBLAQIUABQAAAAIAIdO4kA4I3o3NgIAAGIEAAAOAAAAAAAAAAEAIAAAACMBAABkcnMvZTJvRG9j&#10;LnhtbFBLBQYAAAAABgAGAFkBAADLBQAAAAA=&#10;">
              <v:fill on="f" focussize="0,0"/>
              <v:stroke on="f" weight="0.5pt"/>
              <v:imagedata o:title=""/>
              <o:lock v:ext="edit" aspectratio="f"/>
              <v:textbox inset="0mm,0mm,0mm,0mm">
                <w:txbxContent>
                  <w:p w14:paraId="1FCC2962">
                    <w:pPr>
                      <w:pStyle w:val="11"/>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32297">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975B8"/>
    <w:rsid w:val="02FEBE30"/>
    <w:rsid w:val="03547F3F"/>
    <w:rsid w:val="059B5C25"/>
    <w:rsid w:val="061E35DE"/>
    <w:rsid w:val="066E0107"/>
    <w:rsid w:val="077B0190"/>
    <w:rsid w:val="07996F6E"/>
    <w:rsid w:val="07DFD8BA"/>
    <w:rsid w:val="09867E8F"/>
    <w:rsid w:val="0A2032A3"/>
    <w:rsid w:val="0CA8290A"/>
    <w:rsid w:val="0D35B1ED"/>
    <w:rsid w:val="0E1F739B"/>
    <w:rsid w:val="0F98263C"/>
    <w:rsid w:val="101860EC"/>
    <w:rsid w:val="109220A6"/>
    <w:rsid w:val="10C055FF"/>
    <w:rsid w:val="10C5422A"/>
    <w:rsid w:val="11772AA4"/>
    <w:rsid w:val="118107EC"/>
    <w:rsid w:val="13D50BC4"/>
    <w:rsid w:val="165E0673"/>
    <w:rsid w:val="16BB723D"/>
    <w:rsid w:val="1785325D"/>
    <w:rsid w:val="186504BB"/>
    <w:rsid w:val="18BC5F12"/>
    <w:rsid w:val="19A445FC"/>
    <w:rsid w:val="1A1B4EBB"/>
    <w:rsid w:val="1A9FE8C6"/>
    <w:rsid w:val="1ABA2925"/>
    <w:rsid w:val="1B8847D2"/>
    <w:rsid w:val="1BE8440E"/>
    <w:rsid w:val="1D155CEE"/>
    <w:rsid w:val="1E3E386E"/>
    <w:rsid w:val="1E740ACF"/>
    <w:rsid w:val="1E9A027A"/>
    <w:rsid w:val="1F130856"/>
    <w:rsid w:val="1FF35744"/>
    <w:rsid w:val="1FF6BC77"/>
    <w:rsid w:val="22A30143"/>
    <w:rsid w:val="23503E27"/>
    <w:rsid w:val="237F470C"/>
    <w:rsid w:val="23860B96"/>
    <w:rsid w:val="240371BF"/>
    <w:rsid w:val="260F557C"/>
    <w:rsid w:val="275B723E"/>
    <w:rsid w:val="281408E2"/>
    <w:rsid w:val="28F96D0F"/>
    <w:rsid w:val="29D357B2"/>
    <w:rsid w:val="29FD04D3"/>
    <w:rsid w:val="2BFF7BC6"/>
    <w:rsid w:val="2C886B3C"/>
    <w:rsid w:val="2C8A61B5"/>
    <w:rsid w:val="2DF04E50"/>
    <w:rsid w:val="2F040D46"/>
    <w:rsid w:val="2FAE5751"/>
    <w:rsid w:val="2FB1A395"/>
    <w:rsid w:val="2FD9A7D8"/>
    <w:rsid w:val="2FDBF714"/>
    <w:rsid w:val="319F7F4E"/>
    <w:rsid w:val="31C679AA"/>
    <w:rsid w:val="32657D42"/>
    <w:rsid w:val="32BD1EF1"/>
    <w:rsid w:val="3304709D"/>
    <w:rsid w:val="33EFB7FF"/>
    <w:rsid w:val="347B4A7C"/>
    <w:rsid w:val="349D6851"/>
    <w:rsid w:val="36AA5135"/>
    <w:rsid w:val="36BE0DA7"/>
    <w:rsid w:val="376B6AA6"/>
    <w:rsid w:val="376D39B2"/>
    <w:rsid w:val="37E16F03"/>
    <w:rsid w:val="37F53A3B"/>
    <w:rsid w:val="389B6C89"/>
    <w:rsid w:val="38D469F0"/>
    <w:rsid w:val="39627CCD"/>
    <w:rsid w:val="397BAF1F"/>
    <w:rsid w:val="39E906DA"/>
    <w:rsid w:val="3A243198"/>
    <w:rsid w:val="3AB79AF3"/>
    <w:rsid w:val="3B7EF35A"/>
    <w:rsid w:val="3B9FDB6C"/>
    <w:rsid w:val="3BE850ED"/>
    <w:rsid w:val="3BEB0739"/>
    <w:rsid w:val="3BF5BC2F"/>
    <w:rsid w:val="3CEBA265"/>
    <w:rsid w:val="3D98207C"/>
    <w:rsid w:val="3DEE7CF3"/>
    <w:rsid w:val="3E78745D"/>
    <w:rsid w:val="3F55381A"/>
    <w:rsid w:val="3F7F7599"/>
    <w:rsid w:val="3FF4CAE0"/>
    <w:rsid w:val="3FF7B227"/>
    <w:rsid w:val="41792343"/>
    <w:rsid w:val="444255B6"/>
    <w:rsid w:val="44E268DA"/>
    <w:rsid w:val="486A6C7A"/>
    <w:rsid w:val="4A627F82"/>
    <w:rsid w:val="4AA03036"/>
    <w:rsid w:val="4B0E749A"/>
    <w:rsid w:val="4B4F25DA"/>
    <w:rsid w:val="4BE068DB"/>
    <w:rsid w:val="4D577224"/>
    <w:rsid w:val="4DBF1CEB"/>
    <w:rsid w:val="4EAB630A"/>
    <w:rsid w:val="4ECE2238"/>
    <w:rsid w:val="4F31425D"/>
    <w:rsid w:val="4F833267"/>
    <w:rsid w:val="4FE9BD67"/>
    <w:rsid w:val="4FFB052F"/>
    <w:rsid w:val="509B0528"/>
    <w:rsid w:val="51C8534D"/>
    <w:rsid w:val="537E6D0A"/>
    <w:rsid w:val="53EB70D0"/>
    <w:rsid w:val="53F74C96"/>
    <w:rsid w:val="56372AA1"/>
    <w:rsid w:val="56E47B74"/>
    <w:rsid w:val="57BD3DD4"/>
    <w:rsid w:val="5AF92295"/>
    <w:rsid w:val="5BDD79E6"/>
    <w:rsid w:val="5BF561CA"/>
    <w:rsid w:val="5BFF5DFC"/>
    <w:rsid w:val="5C713D61"/>
    <w:rsid w:val="5CD71FC4"/>
    <w:rsid w:val="5D024215"/>
    <w:rsid w:val="5D1F11B5"/>
    <w:rsid w:val="5DAE1B18"/>
    <w:rsid w:val="5DE7D9E5"/>
    <w:rsid w:val="5ECEC941"/>
    <w:rsid w:val="5F223BC2"/>
    <w:rsid w:val="5F816B3B"/>
    <w:rsid w:val="5FBF9FF3"/>
    <w:rsid w:val="5FCD4E2C"/>
    <w:rsid w:val="5FEF394A"/>
    <w:rsid w:val="5FF05A6E"/>
    <w:rsid w:val="5FF67715"/>
    <w:rsid w:val="61F41846"/>
    <w:rsid w:val="625930AA"/>
    <w:rsid w:val="62BF3928"/>
    <w:rsid w:val="63B219B9"/>
    <w:rsid w:val="641937E6"/>
    <w:rsid w:val="647F5392"/>
    <w:rsid w:val="664B1D71"/>
    <w:rsid w:val="67AA3209"/>
    <w:rsid w:val="698D0931"/>
    <w:rsid w:val="6A7075F3"/>
    <w:rsid w:val="6A7FE5F3"/>
    <w:rsid w:val="6B053271"/>
    <w:rsid w:val="6B144D07"/>
    <w:rsid w:val="6C4A05C8"/>
    <w:rsid w:val="6C8742B8"/>
    <w:rsid w:val="6DBF5E93"/>
    <w:rsid w:val="6DFF077E"/>
    <w:rsid w:val="6E7E3605"/>
    <w:rsid w:val="6E7FDCC7"/>
    <w:rsid w:val="6ED6A62E"/>
    <w:rsid w:val="6EE00B15"/>
    <w:rsid w:val="6F4478BF"/>
    <w:rsid w:val="6F593630"/>
    <w:rsid w:val="6F6FB3EB"/>
    <w:rsid w:val="6F8731EA"/>
    <w:rsid w:val="6FCE6052"/>
    <w:rsid w:val="6FD57C00"/>
    <w:rsid w:val="6FEFFFD8"/>
    <w:rsid w:val="6FF5CC65"/>
    <w:rsid w:val="6FFB47EC"/>
    <w:rsid w:val="6FFF034A"/>
    <w:rsid w:val="70227EC6"/>
    <w:rsid w:val="70D2143C"/>
    <w:rsid w:val="712A28F1"/>
    <w:rsid w:val="715C0E4B"/>
    <w:rsid w:val="72233669"/>
    <w:rsid w:val="72734D90"/>
    <w:rsid w:val="7332FE48"/>
    <w:rsid w:val="73AB61DA"/>
    <w:rsid w:val="73AD73D5"/>
    <w:rsid w:val="73B6EB34"/>
    <w:rsid w:val="73FA497D"/>
    <w:rsid w:val="744731E5"/>
    <w:rsid w:val="74BBD01D"/>
    <w:rsid w:val="74ED5379"/>
    <w:rsid w:val="75DEEEC2"/>
    <w:rsid w:val="76E3355F"/>
    <w:rsid w:val="76FF5125"/>
    <w:rsid w:val="776F6FFA"/>
    <w:rsid w:val="778769C8"/>
    <w:rsid w:val="77DC22F5"/>
    <w:rsid w:val="79086DAD"/>
    <w:rsid w:val="79D7FD79"/>
    <w:rsid w:val="79EE5BA4"/>
    <w:rsid w:val="7A894339"/>
    <w:rsid w:val="7AD284E8"/>
    <w:rsid w:val="7AFF7572"/>
    <w:rsid w:val="7B6C7DFB"/>
    <w:rsid w:val="7BBFBED0"/>
    <w:rsid w:val="7BC3E394"/>
    <w:rsid w:val="7C1F3737"/>
    <w:rsid w:val="7CB41EA6"/>
    <w:rsid w:val="7CBFC87B"/>
    <w:rsid w:val="7CFE0F48"/>
    <w:rsid w:val="7D1868D9"/>
    <w:rsid w:val="7D7EC23E"/>
    <w:rsid w:val="7E8ADEBF"/>
    <w:rsid w:val="7EEF11D3"/>
    <w:rsid w:val="7EFE4840"/>
    <w:rsid w:val="7F0971A6"/>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7DAB09"/>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6"/>
    <w:qFormat/>
    <w:uiPriority w:val="99"/>
    <w:pPr>
      <w:spacing w:beforeLines="30"/>
    </w:pPr>
    <w:rPr>
      <w:rFonts w:ascii="仿宋_GB2312" w:eastAsia="仿宋_GB2312"/>
      <w:kern w:val="0"/>
      <w:sz w:val="30"/>
    </w:rPr>
  </w:style>
  <w:style w:type="paragraph" w:styleId="6">
    <w:name w:val="toa heading"/>
    <w:basedOn w:val="1"/>
    <w:next w:val="1"/>
    <w:unhideWhenUsed/>
    <w:qFormat/>
    <w:uiPriority w:val="99"/>
    <w:pPr>
      <w:spacing w:before="120"/>
    </w:pPr>
    <w:rPr>
      <w:rFonts w:hint="default" w:ascii="Cambria" w:hAnsi="Cambria" w:eastAsia="宋体" w:cs="Cambria"/>
      <w:sz w:val="24"/>
      <w:szCs w:val="24"/>
    </w:r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8"/>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7"/>
    <w:link w:val="3"/>
    <w:qFormat/>
    <w:uiPriority w:val="9"/>
    <w:rPr>
      <w:rFonts w:ascii="Times New Roman" w:hAnsi="Times New Roman"/>
      <w:b/>
      <w:bCs/>
      <w:kern w:val="44"/>
      <w:sz w:val="44"/>
      <w:szCs w:val="44"/>
    </w:rPr>
  </w:style>
  <w:style w:type="character" w:customStyle="1" w:styleId="30">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10"/>
    <w:semiHidden/>
    <w:qFormat/>
    <w:uiPriority w:val="99"/>
    <w:rPr>
      <w:rFonts w:ascii="Times New Roman" w:hAnsi="Times New Roman"/>
      <w:kern w:val="2"/>
      <w:sz w:val="18"/>
      <w:szCs w:val="18"/>
    </w:rPr>
  </w:style>
  <w:style w:type="character" w:customStyle="1" w:styleId="33">
    <w:name w:val="标题 3 Char"/>
    <w:basedOn w:val="17"/>
    <w:link w:val="5"/>
    <w:qFormat/>
    <w:uiPriority w:val="9"/>
    <w:rPr>
      <w:rFonts w:ascii="Times New Roman" w:hAnsi="Times New Roman"/>
      <w:b/>
      <w:bCs/>
      <w:kern w:val="2"/>
      <w:sz w:val="32"/>
      <w:szCs w:val="32"/>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收入、支出决算总计变动情况图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金额（单位：万元）</c:v>
                </c:pt>
              </c:strCache>
            </c:strRef>
          </c:tx>
          <c:spPr>
            <a:solidFill>
              <a:schemeClr val="accent1"/>
            </a:solidFill>
            <a:ln>
              <a:noFill/>
            </a:ln>
            <a:effectLst/>
          </c:spPr>
          <c:invertIfNegative val="0"/>
          <c:dLbls>
            <c:dLbl>
              <c:idx val="0"/>
              <c:layout>
                <c:manualLayout>
                  <c:x val="0.00293987946494194"/>
                  <c:y val="0.032564450474898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104.12</c:v>
                </c:pt>
                <c:pt idx="1">
                  <c:v>64.48</c:v>
                </c:pt>
              </c:numCache>
            </c:numRef>
          </c:val>
        </c:ser>
        <c:dLbls>
          <c:showLegendKey val="0"/>
          <c:showVal val="1"/>
          <c:showCatName val="0"/>
          <c:showSerName val="0"/>
          <c:showPercent val="0"/>
          <c:showBubbleSize val="0"/>
        </c:dLbls>
        <c:gapWidth val="150"/>
        <c:overlap val="0"/>
        <c:axId val="32220409"/>
        <c:axId val="980139906"/>
      </c:barChart>
      <c:catAx>
        <c:axId val="3222040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0139906"/>
        <c:crosses val="autoZero"/>
        <c:auto val="1"/>
        <c:lblAlgn val="ctr"/>
        <c:lblOffset val="100"/>
        <c:noMultiLvlLbl val="0"/>
      </c:catAx>
      <c:valAx>
        <c:axId val="98013990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220409"/>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cc68456-09ea-4fce-822b-e3e82809420a}"/>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149739820667353"/>
          <c:y val="0.248081411126187"/>
          <c:w val="0.349645744524474"/>
          <c:h val="0.645492537313433"/>
        </c:manualLayout>
      </c:layout>
      <c:pieChart>
        <c:varyColors val="1"/>
        <c:ser>
          <c:idx val="0"/>
          <c:order val="0"/>
          <c:tx>
            <c:strRef>
              <c:f>Sheet1!$B$1</c:f>
              <c:strCache>
                <c:ptCount val="1"/>
                <c:pt idx="0">
                  <c:v>占比</c:v>
                </c:pt>
              </c:strCache>
            </c:strRef>
          </c:tx>
          <c:spPr/>
          <c:explosion val="0"/>
          <c:dPt>
            <c:idx val="0"/>
            <c:bubble3D val="0"/>
            <c:spPr>
              <a:solidFill>
                <a:schemeClr val="accent1"/>
              </a:solidFill>
              <a:ln>
                <a:solidFill>
                  <a:schemeClr val="bg1"/>
                </a:solidFill>
              </a:ln>
              <a:effectLst/>
            </c:spPr>
          </c:dPt>
          <c:dLbls>
            <c:dLbl>
              <c:idx val="0"/>
              <c:layout>
                <c:manualLayout>
                  <c:x val="0.00721188518678783"/>
                  <c:y val="0.030523597088518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1"/>
                <c:pt idx="0">
                  <c:v>一般公共预算财政拨款收入</c:v>
                </c:pt>
              </c:strCache>
            </c:strRef>
          </c:cat>
          <c:val>
            <c:numRef>
              <c:f>Sheet1!$B$2:$B$3</c:f>
              <c:numCache>
                <c:formatCode>0.00%</c:formatCode>
                <c:ptCount val="1"/>
                <c:pt idx="0">
                  <c:v>1</c:v>
                </c:pt>
              </c:numCache>
            </c:numRef>
          </c:val>
        </c:ser>
        <c:dLbls>
          <c:showLegendKey val="0"/>
          <c:showVal val="1"/>
          <c:showCatName val="0"/>
          <c:showSerName val="0"/>
          <c:showPercent val="0"/>
          <c:showBubbleSize val="0"/>
          <c:showLeaderLines val="1"/>
        </c:dLbls>
        <c:firstSliceAng val="83"/>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4d0e290-f4ec-4d06-9432-bf15b7a6f394}"/>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p>
        </c:rich>
      </c:tx>
      <c:layout>
        <c:manualLayout>
          <c:xMode val="edge"/>
          <c:yMode val="edge"/>
          <c:x val="0.344444444444444"/>
          <c:y val="0.0308659617033438"/>
        </c:manualLayout>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Sheet1!$A$3</c:f>
              <c:strCache>
                <c:ptCount val="1"/>
                <c:pt idx="0">
                  <c:v>项目支出</c:v>
                </c:pt>
              </c:strCache>
            </c:strRef>
          </c:cat>
          <c:val>
            <c:numRef>
              <c:f>Sheet1!$B$3</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5a85822-dcb8-4195-a0a7-290a6bf04e01}"/>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财政拨款收、支决算总计变动情况图</a:t>
            </a:r>
          </a:p>
        </c:rich>
      </c:tx>
      <c:layout/>
      <c:overlay val="0"/>
      <c:spPr>
        <a:noFill/>
        <a:ln>
          <a:noFill/>
        </a:ln>
        <a:effectLst/>
      </c:spPr>
    </c:title>
    <c:autoTitleDeleted val="0"/>
    <c:plotArea>
      <c:layout>
        <c:manualLayout>
          <c:layoutTarget val="inner"/>
          <c:xMode val="edge"/>
          <c:yMode val="edge"/>
          <c:x val="0.105167597012096"/>
          <c:y val="0.22407960199005"/>
          <c:w val="0.568452559114038"/>
          <c:h val="0.661981004070556"/>
        </c:manualLayout>
      </c:layout>
      <c:barChart>
        <c:barDir val="col"/>
        <c:grouping val="clustered"/>
        <c:varyColors val="0"/>
        <c:ser>
          <c:idx val="0"/>
          <c:order val="0"/>
          <c:tx>
            <c:strRef>
              <c:f>Sheet1!$B$1</c:f>
              <c:strCache>
                <c:ptCount val="1"/>
                <c:pt idx="0">
                  <c:v>金额（单位：万元）</c:v>
                </c:pt>
              </c:strCache>
            </c:strRef>
          </c:tx>
          <c:spPr>
            <a:solidFill>
              <a:schemeClr val="accent1"/>
            </a:solidFill>
            <a:ln>
              <a:noFill/>
            </a:ln>
            <a:effectLst/>
          </c:spPr>
          <c:invertIfNegative val="0"/>
          <c:dLbls>
            <c:dLbl>
              <c:idx val="0"/>
              <c:layout>
                <c:manualLayout>
                  <c:x val="0"/>
                  <c:y val="0.0251952632905014"/>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104.12</c:v>
                </c:pt>
                <c:pt idx="1">
                  <c:v>64.48</c:v>
                </c:pt>
              </c:numCache>
            </c:numRef>
          </c:val>
        </c:ser>
        <c:dLbls>
          <c:showLegendKey val="0"/>
          <c:showVal val="1"/>
          <c:showCatName val="0"/>
          <c:showSerName val="0"/>
          <c:showPercent val="0"/>
          <c:showBubbleSize val="0"/>
        </c:dLbls>
        <c:gapWidth val="150"/>
        <c:overlap val="0"/>
        <c:axId val="32220409"/>
        <c:axId val="980139906"/>
      </c:barChart>
      <c:catAx>
        <c:axId val="3222040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0139906"/>
        <c:crosses val="autoZero"/>
        <c:auto val="1"/>
        <c:lblAlgn val="ctr"/>
        <c:lblOffset val="100"/>
        <c:noMultiLvlLbl val="0"/>
      </c:catAx>
      <c:valAx>
        <c:axId val="98013990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220409"/>
        <c:crosses val="autoZero"/>
        <c:crossBetween val="between"/>
      </c:valAx>
      <c:spPr>
        <a:noFill/>
        <a:ln>
          <a:noFill/>
        </a:ln>
        <a:effectLst/>
      </c:spPr>
    </c:plotArea>
    <c:legend>
      <c:legendPos val="r"/>
      <c:layout>
        <c:manualLayout>
          <c:xMode val="edge"/>
          <c:yMode val="edge"/>
          <c:x val="0.709069140975756"/>
          <c:y val="0.48385345997286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482d1454-7eb6-4e81-bf3f-8c0426d69ec1}"/>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spc="-100">
                <a:solidFill>
                  <a:schemeClr val="tx1">
                    <a:lumMod val="65000"/>
                    <a:lumOff val="35000"/>
                  </a:schemeClr>
                </a:solidFill>
                <a:uFillTx/>
              </a:rPr>
              <a:t>一般公共预算财政拨款支出决算变动情况图</a:t>
            </a:r>
            <a:endParaRPr sz="1400" spc="-100">
              <a:solidFill>
                <a:schemeClr val="tx1">
                  <a:lumMod val="65000"/>
                  <a:lumOff val="35000"/>
                </a:schemeClr>
              </a:solidFill>
              <a:uFillTx/>
            </a:endParaRPr>
          </a:p>
        </c:rich>
      </c:tx>
      <c:layout>
        <c:manualLayout>
          <c:xMode val="edge"/>
          <c:yMode val="edge"/>
          <c:x val="0.119873585183008"/>
          <c:y val="0.0302343159486017"/>
        </c:manualLayout>
      </c:layout>
      <c:overlay val="0"/>
      <c:spPr>
        <a:noFill/>
        <a:ln>
          <a:noFill/>
        </a:ln>
        <a:effectLst/>
      </c:spPr>
    </c:title>
    <c:autoTitleDeleted val="0"/>
    <c:plotArea>
      <c:layout>
        <c:manualLayout>
          <c:layoutTarget val="inner"/>
          <c:xMode val="edge"/>
          <c:yMode val="edge"/>
          <c:x val="0.139410513521726"/>
          <c:y val="0.218082033506644"/>
          <c:w val="0.561896080218778"/>
          <c:h val="0.640207972270364"/>
        </c:manualLayout>
      </c:layout>
      <c:barChart>
        <c:barDir val="col"/>
        <c:grouping val="clustered"/>
        <c:varyColors val="0"/>
        <c:ser>
          <c:idx val="0"/>
          <c:order val="0"/>
          <c:tx>
            <c:strRef>
              <c:f>Sheet1!$B$1</c:f>
              <c:strCache>
                <c:ptCount val="1"/>
                <c:pt idx="0">
                  <c:v>金额（单位：万元）</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104.12</c:v>
                </c:pt>
                <c:pt idx="1">
                  <c:v>64.48</c:v>
                </c:pt>
              </c:numCache>
            </c:numRef>
          </c:val>
        </c:ser>
        <c:dLbls>
          <c:showLegendKey val="0"/>
          <c:showVal val="1"/>
          <c:showCatName val="0"/>
          <c:showSerName val="0"/>
          <c:showPercent val="0"/>
          <c:showBubbleSize val="0"/>
        </c:dLbls>
        <c:gapWidth val="150"/>
        <c:overlap val="0"/>
        <c:axId val="32220409"/>
        <c:axId val="980139906"/>
      </c:barChart>
      <c:catAx>
        <c:axId val="3222040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0139906"/>
        <c:crosses val="autoZero"/>
        <c:auto val="1"/>
        <c:lblAlgn val="ctr"/>
        <c:lblOffset val="100"/>
        <c:noMultiLvlLbl val="0"/>
      </c:catAx>
      <c:valAx>
        <c:axId val="98013990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220409"/>
        <c:crosses val="autoZero"/>
        <c:crossBetween val="between"/>
      </c:valAx>
      <c:spPr>
        <a:noFill/>
        <a:ln>
          <a:noFill/>
        </a:ln>
        <a:effectLst/>
      </c:spPr>
    </c:plotArea>
    <c:legend>
      <c:legendPos val="r"/>
      <c:layout>
        <c:manualLayout>
          <c:xMode val="edge"/>
          <c:yMode val="edge"/>
          <c:x val="0.70464904284412"/>
          <c:y val="0.527585210860774"/>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9bc14094-f53a-4699-b58e-0bf2178a671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一般公共预算财政拨款支出决算结构图</a:t>
            </a:r>
          </a:p>
        </c:rich>
      </c:tx>
      <c:layout>
        <c:manualLayout>
          <c:xMode val="edge"/>
          <c:yMode val="edge"/>
          <c:x val="0.158167803142603"/>
          <c:y val="0.0302343159486017"/>
        </c:manualLayout>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一般公共服务支出</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manualLayout>
          <c:xMode val="edge"/>
          <c:yMode val="edge"/>
          <c:x val="0.665147728943113"/>
          <c:y val="0.34952510176390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e4f253e-0f5a-41e5-ba25-56d4016eeed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withinLinear" id="14">
  <a:schemeClr val="accent1"/>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withinLinear" id="14">
  <a:schemeClr val="accent1"/>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withinLinear" id="14">
  <a:schemeClr val="accent1"/>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17</Pages>
  <Words>3554</Words>
  <Characters>3831</Characters>
  <Lines>61</Lines>
  <Paragraphs>17</Paragraphs>
  <TotalTime>21</TotalTime>
  <ScaleCrop>false</ScaleCrop>
  <LinksUpToDate>false</LinksUpToDate>
  <CharactersWithSpaces>3884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2020-08-10T09:49:00Z</dcterms:created>
  <dc:creator>曹颖</dc:creator>
  <cp:lastModifiedBy>金枪鱼小霸王</cp:lastModifiedBy>
  <cp:lastPrinted>2025-10-15T07:27:00Z</cp:lastPrinted>
  <dcterms:modified xsi:type="dcterms:W3CDTF">2025-10-15T08:58:23Z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84BFFB56377443DEB90AF11426FB5007_13</vt:lpwstr>
  </property>
  <property fmtid="{D5CDD505-2E9C-101B-9397-08002B2CF9AE}" pid="4" name="KSOTemplateDocerSaveRecord">
    <vt:lpwstr>eyJoZGlkIjoiN2ZiMWU4NjE2ZThjZWFmNTIyNjY1N2Y2MGM4NGU0YzgiLCJ1c2VySWQiOiI0MjUxMjI0NTcifQ==</vt:lpwstr>
  </property>
</Properties>
</file>