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B4E31">
      <w:pPr>
        <w:rPr>
          <w:rFonts w:ascii="宋体" w:hAnsi="宋体"/>
          <w:highlight w:val="none"/>
        </w:rPr>
      </w:pPr>
      <w:bookmarkStart w:id="0" w:name="_Toc15377425"/>
      <w:bookmarkStart w:id="1" w:name="_Toc15396597"/>
      <w:bookmarkStart w:id="2" w:name="_Toc15396475"/>
      <w:bookmarkStart w:id="3" w:name="_Toc15377193"/>
      <w:bookmarkStart w:id="4" w:name="_Toc15378441"/>
      <w:bookmarkStart w:id="5" w:name="_Toc15306267"/>
    </w:p>
    <w:p w14:paraId="528B509A">
      <w:pPr>
        <w:pStyle w:val="2"/>
        <w:jc w:val="center"/>
        <w:rPr>
          <w:rFonts w:hint="eastAsia" w:ascii="宋体" w:hAnsi="宋体" w:eastAsia="方正小标宋简体" w:cs="Times New Roman"/>
          <w:color w:val="auto"/>
          <w:kern w:val="2"/>
          <w:sz w:val="44"/>
          <w:szCs w:val="44"/>
          <w:highlight w:val="none"/>
          <w:lang w:val="en-US" w:eastAsia="zh-CN" w:bidi="ar-SA"/>
        </w:rPr>
      </w:pPr>
    </w:p>
    <w:p w14:paraId="6B792674">
      <w:pPr>
        <w:pStyle w:val="2"/>
        <w:jc w:val="center"/>
        <w:rPr>
          <w:rFonts w:hint="eastAsia" w:ascii="宋体" w:hAnsi="宋体" w:eastAsia="方正小标宋简体" w:cs="Times New Roman"/>
          <w:color w:val="auto"/>
          <w:kern w:val="2"/>
          <w:sz w:val="44"/>
          <w:szCs w:val="44"/>
          <w:highlight w:val="none"/>
          <w:lang w:val="en-US" w:eastAsia="zh-CN" w:bidi="ar-SA"/>
        </w:rPr>
      </w:pPr>
    </w:p>
    <w:p w14:paraId="5A402082">
      <w:pPr>
        <w:pStyle w:val="2"/>
        <w:jc w:val="center"/>
        <w:rPr>
          <w:rFonts w:hint="eastAsia" w:ascii="宋体" w:hAnsi="宋体" w:eastAsia="方正小标宋简体" w:cs="Times New Roman"/>
          <w:color w:val="auto"/>
          <w:kern w:val="2"/>
          <w:sz w:val="44"/>
          <w:szCs w:val="44"/>
          <w:highlight w:val="none"/>
          <w:lang w:val="en-US" w:eastAsia="zh-CN" w:bidi="ar-SA"/>
        </w:rPr>
      </w:pPr>
    </w:p>
    <w:p w14:paraId="14A7E793">
      <w:pPr>
        <w:pStyle w:val="2"/>
        <w:jc w:val="center"/>
        <w:rPr>
          <w:rFonts w:hint="eastAsia" w:ascii="宋体" w:hAnsi="宋体" w:eastAsia="方正小标宋简体" w:cs="Times New Roman"/>
          <w:color w:val="auto"/>
          <w:kern w:val="2"/>
          <w:sz w:val="44"/>
          <w:szCs w:val="44"/>
          <w:highlight w:val="none"/>
          <w:lang w:val="en-US" w:eastAsia="zh-CN" w:bidi="ar-SA"/>
        </w:rPr>
      </w:pPr>
    </w:p>
    <w:bookmarkEnd w:id="0"/>
    <w:bookmarkEnd w:id="1"/>
    <w:bookmarkEnd w:id="2"/>
    <w:bookmarkEnd w:id="3"/>
    <w:bookmarkEnd w:id="4"/>
    <w:p w14:paraId="29497396">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bookmarkStart w:id="6" w:name="_Toc15377426"/>
      <w:bookmarkStart w:id="7" w:name="_Toc15396598"/>
      <w:bookmarkStart w:id="8" w:name="_Toc15377194"/>
      <w:bookmarkStart w:id="9" w:name="_Toc15378442"/>
      <w:bookmarkStart w:id="10" w:name="_Toc15396476"/>
      <w:r>
        <w:rPr>
          <w:rFonts w:hint="eastAsia" w:ascii="宋体" w:hAnsi="宋体" w:eastAsia="方正小标宋简体" w:cs="Times New Roman"/>
          <w:color w:val="auto"/>
          <w:kern w:val="2"/>
          <w:sz w:val="48"/>
          <w:szCs w:val="48"/>
          <w:highlight w:val="none"/>
          <w:lang w:val="en-US" w:eastAsia="zh-CN" w:bidi="ar-SA"/>
        </w:rPr>
        <w:t>2024年度四川省</w:t>
      </w:r>
      <w:bookmarkEnd w:id="5"/>
      <w:bookmarkStart w:id="11" w:name="_Toc15306268"/>
    </w:p>
    <w:p w14:paraId="2B9DCE38">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中国共产党安岳县纪律检查委员会</w:t>
      </w:r>
    </w:p>
    <w:p w14:paraId="46826823">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eastAsia="方正小标宋简体" w:cs="Times New Roman"/>
          <w:color w:val="auto"/>
          <w:kern w:val="2"/>
          <w:sz w:val="48"/>
          <w:szCs w:val="48"/>
          <w:highlight w:val="none"/>
          <w:lang w:val="en-US" w:eastAsia="zh-CN" w:bidi="ar-SA"/>
        </w:rPr>
      </w:pPr>
      <w:r>
        <w:rPr>
          <w:rFonts w:hint="eastAsia" w:ascii="宋体" w:hAnsi="宋体" w:eastAsia="方正小标宋简体" w:cs="Times New Roman"/>
          <w:color w:val="auto"/>
          <w:kern w:val="2"/>
          <w:sz w:val="48"/>
          <w:szCs w:val="48"/>
          <w:highlight w:val="none"/>
          <w:lang w:val="en-US" w:eastAsia="zh-CN" w:bidi="ar-SA"/>
        </w:rPr>
        <w:t>单位决算</w:t>
      </w:r>
      <w:bookmarkEnd w:id="6"/>
      <w:bookmarkEnd w:id="7"/>
      <w:bookmarkEnd w:id="8"/>
      <w:bookmarkEnd w:id="9"/>
      <w:bookmarkEnd w:id="10"/>
      <w:bookmarkEnd w:id="11"/>
    </w:p>
    <w:p w14:paraId="5EDDFCE1">
      <w:pPr>
        <w:keepNext w:val="0"/>
        <w:keepLines w:val="0"/>
        <w:pageBreakBefore w:val="0"/>
        <w:widowControl/>
        <w:kinsoku/>
        <w:wordWrap/>
        <w:overflowPunct/>
        <w:topLinePunct w:val="0"/>
        <w:autoSpaceDE/>
        <w:autoSpaceDN/>
        <w:bidi w:val="0"/>
        <w:adjustRightInd/>
        <w:snapToGrid/>
        <w:spacing w:line="660" w:lineRule="exact"/>
        <w:jc w:val="center"/>
        <w:textAlignment w:val="auto"/>
        <w:rPr>
          <w:rFonts w:hint="eastAsia" w:ascii="宋体" w:hAnsi="宋体" w:eastAsia="方正黑体简体" w:cs="方正黑体简体"/>
          <w:color w:val="auto"/>
          <w:sz w:val="44"/>
          <w:szCs w:val="44"/>
          <w:highlight w:val="none"/>
        </w:rPr>
      </w:pPr>
      <w:r>
        <w:rPr>
          <w:rFonts w:ascii="宋体" w:hAnsi="宋体" w:eastAsia="方正小标宋简体"/>
          <w:color w:val="auto"/>
          <w:sz w:val="36"/>
          <w:szCs w:val="36"/>
          <w:highlight w:val="none"/>
        </w:rPr>
        <w:br w:type="page"/>
      </w:r>
      <w:r>
        <w:rPr>
          <w:rFonts w:hint="eastAsia" w:ascii="宋体" w:hAnsi="宋体" w:eastAsia="方正黑体简体" w:cs="方正黑体简体"/>
          <w:color w:val="auto"/>
          <w:sz w:val="44"/>
          <w:szCs w:val="44"/>
          <w:highlight w:val="none"/>
        </w:rPr>
        <w:t>目</w:t>
      </w:r>
      <w:r>
        <w:rPr>
          <w:rFonts w:hint="eastAsia" w:ascii="宋体" w:hAnsi="宋体" w:eastAsia="方正黑体简体" w:cs="方正黑体简体"/>
          <w:color w:val="auto"/>
          <w:sz w:val="44"/>
          <w:szCs w:val="44"/>
          <w:highlight w:val="none"/>
          <w:lang w:val="en-US" w:eastAsia="zh-CN"/>
        </w:rPr>
        <w:t xml:space="preserve">  </w:t>
      </w:r>
      <w:r>
        <w:rPr>
          <w:rFonts w:hint="eastAsia" w:ascii="宋体" w:hAnsi="宋体" w:eastAsia="方正黑体简体" w:cs="方正黑体简体"/>
          <w:color w:val="auto"/>
          <w:sz w:val="44"/>
          <w:szCs w:val="44"/>
          <w:highlight w:val="none"/>
        </w:rPr>
        <w:t>录</w:t>
      </w:r>
    </w:p>
    <w:p w14:paraId="229D180B">
      <w:pPr>
        <w:pStyle w:val="1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color w:val="auto"/>
          <w:sz w:val="32"/>
          <w:szCs w:val="32"/>
          <w:highlight w:val="none"/>
        </w:rPr>
      </w:pPr>
      <w:r>
        <w:rPr>
          <w:rFonts w:hint="eastAsia" w:ascii="宋体" w:hAnsi="宋体" w:eastAsia="方正仿宋简体" w:cs="方正仿宋简体"/>
          <w:color w:val="auto"/>
          <w:sz w:val="32"/>
          <w:szCs w:val="32"/>
          <w:highlight w:val="none"/>
        </w:rPr>
        <w:t>公开时间：2</w:t>
      </w:r>
      <w:r>
        <w:rPr>
          <w:rFonts w:hint="eastAsia" w:ascii="宋体" w:hAnsi="宋体" w:eastAsia="方正仿宋简体" w:cs="方正仿宋简体"/>
          <w:color w:val="auto"/>
          <w:sz w:val="32"/>
          <w:szCs w:val="32"/>
          <w:highlight w:val="none"/>
          <w:lang w:val="en-US" w:eastAsia="zh-CN"/>
        </w:rPr>
        <w:t>025</w:t>
      </w:r>
      <w:r>
        <w:rPr>
          <w:rFonts w:hint="eastAsia" w:ascii="宋体" w:hAnsi="宋体" w:eastAsia="方正仿宋简体" w:cs="方正仿宋简体"/>
          <w:color w:val="auto"/>
          <w:sz w:val="32"/>
          <w:szCs w:val="32"/>
          <w:highlight w:val="none"/>
        </w:rPr>
        <w:t>年</w:t>
      </w:r>
      <w:r>
        <w:rPr>
          <w:rFonts w:hint="eastAsia" w:ascii="宋体" w:hAnsi="宋体" w:eastAsia="方正仿宋简体" w:cs="方正仿宋简体"/>
          <w:color w:val="auto"/>
          <w:sz w:val="32"/>
          <w:szCs w:val="32"/>
          <w:highlight w:val="none"/>
          <w:lang w:val="en-US" w:eastAsia="zh-CN"/>
        </w:rPr>
        <w:t>10</w:t>
      </w:r>
      <w:r>
        <w:rPr>
          <w:rFonts w:hint="eastAsia" w:ascii="宋体" w:hAnsi="宋体" w:eastAsia="方正仿宋简体" w:cs="方正仿宋简体"/>
          <w:color w:val="auto"/>
          <w:sz w:val="32"/>
          <w:szCs w:val="32"/>
          <w:highlight w:val="none"/>
        </w:rPr>
        <w:t>月</w:t>
      </w:r>
      <w:r>
        <w:rPr>
          <w:rFonts w:hint="eastAsia" w:ascii="宋体" w:hAnsi="宋体" w:eastAsia="方正仿宋简体" w:cs="方正仿宋简体"/>
          <w:color w:val="auto"/>
          <w:sz w:val="32"/>
          <w:szCs w:val="32"/>
          <w:highlight w:val="none"/>
          <w:lang w:val="en-US" w:eastAsia="zh-CN"/>
        </w:rPr>
        <w:t>15</w:t>
      </w:r>
      <w:r>
        <w:rPr>
          <w:rFonts w:hint="eastAsia" w:ascii="宋体" w:hAnsi="宋体" w:eastAsia="方正仿宋简体" w:cs="方正仿宋简体"/>
          <w:color w:val="auto"/>
          <w:sz w:val="32"/>
          <w:szCs w:val="32"/>
          <w:highlight w:val="none"/>
        </w:rPr>
        <w:t>日</w:t>
      </w:r>
    </w:p>
    <w:p w14:paraId="75A076E2">
      <w:pPr>
        <w:keepNext w:val="0"/>
        <w:keepLines w:val="0"/>
        <w:pageBreakBefore w:val="0"/>
        <w:widowControl w:val="0"/>
        <w:kinsoku/>
        <w:wordWrap/>
        <w:overflowPunct/>
        <w:topLinePunct w:val="0"/>
        <w:autoSpaceDE/>
        <w:autoSpaceDN/>
        <w:bidi w:val="0"/>
        <w:adjustRightInd/>
        <w:snapToGrid/>
        <w:spacing w:line="580" w:lineRule="exact"/>
        <w:textAlignment w:val="auto"/>
        <w:rPr>
          <w:rFonts w:ascii="宋体" w:hAnsi="宋体"/>
          <w:color w:val="auto"/>
          <w:highlight w:val="none"/>
        </w:rPr>
      </w:pPr>
    </w:p>
    <w:p w14:paraId="416AC91E">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rPr>
      </w:pPr>
      <w:bookmarkStart w:id="12" w:name="_Toc15377196"/>
      <w:bookmarkStart w:id="13" w:name="_Toc15396599"/>
      <w:r>
        <w:rPr>
          <w:rFonts w:ascii="宋体" w:hAnsi="宋体"/>
        </w:rPr>
        <w:fldChar w:fldCharType="begin"/>
      </w:r>
      <w:r>
        <w:rPr>
          <w:rFonts w:ascii="宋体" w:hAnsi="宋体"/>
        </w:rPr>
        <w:instrText xml:space="preserve">TOC \o "1-2" \h \u </w:instrText>
      </w:r>
      <w:r>
        <w:rPr>
          <w:rFonts w:ascii="宋体" w:hAnsi="宋体"/>
        </w:rPr>
        <w:fldChar w:fldCharType="separate"/>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_Toc10180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第一部分  单位概况</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_Toc10180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09A9D6E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_Toc10643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一、职能职责</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_Toc10643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19887F5C">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_Toc10148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二、</w:t>
      </w:r>
      <w:r>
        <w:rPr>
          <w:rFonts w:hint="eastAsia" w:ascii="宋体" w:hAnsi="宋体" w:eastAsia="方正仿宋简体" w:cs="方正仿宋简体"/>
          <w:sz w:val="30"/>
          <w:szCs w:val="30"/>
          <w:lang w:val="zh-CN" w:eastAsia="zh-CN"/>
        </w:rPr>
        <w:t>机构设置</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_Toc10148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1</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FA01BAE">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_Toc11619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第二部分  2024年度单位决算情况说明</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_Toc11619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2</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29CB9CE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_Toc15621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一、收入支出决算总体情况说明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_Toc15621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22765E5">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_Toc2418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二、收入决算情况说明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_Toc2418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3660EBA">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_Toc7272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三、支出决算情况说明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_Toc7272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B968604">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_Toc5512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四、财政拨款收入支出决算总体情况说明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_Toc5512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3</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7D4D9437">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_Toc4973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五、一般公共预算财政拨款支出决算情况说明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_Toc4973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4</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228F169">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_Toc29475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六、一般公共预算财政拨款基本支出决算情况说明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_Toc29475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3E03FB74">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_Toc18496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七、财政拨款“三公”经费支出决算情况说明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_Toc18496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7</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BC596A8">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_Toc10970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八、政府性基金预算支出决算情况说明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_Toc10970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ABCA061">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_Toc24876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九、国有资本经营预算支出决算情况说明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_Toc24876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616F2F5">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_Toc22534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十、其他重要事项的情况说明</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_Toc22534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9</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3F2F965">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_Toc18802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eastAsia="zh-CN"/>
        </w:rPr>
        <w:t>第三部分</w:t>
      </w:r>
      <w:r>
        <w:rPr>
          <w:rFonts w:hint="eastAsia" w:ascii="宋体" w:hAnsi="宋体" w:eastAsia="方正黑体简体" w:cs="方正黑体简体"/>
          <w:b/>
          <w:sz w:val="30"/>
          <w:szCs w:val="30"/>
          <w:lang w:val="en-US" w:eastAsia="zh-CN"/>
        </w:rPr>
        <w:t xml:space="preserve">  </w:t>
      </w:r>
      <w:r>
        <w:rPr>
          <w:rFonts w:hint="eastAsia" w:ascii="宋体" w:hAnsi="宋体" w:eastAsia="方正黑体简体" w:cs="方正黑体简体"/>
          <w:b/>
          <w:sz w:val="30"/>
          <w:szCs w:val="30"/>
          <w:lang w:eastAsia="zh-CN"/>
        </w:rPr>
        <w:t>名词解释</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_Toc18802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11</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7C3ACAD4">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_Toc18674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第四部分  附件</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_Toc18674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14</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1EC4833A">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方正黑体简体" w:cs="方正黑体简体"/>
          <w:b/>
          <w:sz w:val="30"/>
          <w:szCs w:val="30"/>
        </w:rPr>
      </w:pP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HYPERLINK \l _Toc3610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lang w:val="en-US" w:eastAsia="zh-CN"/>
        </w:rPr>
        <w:t>第五部分 附表</w:t>
      </w:r>
      <w:r>
        <w:rPr>
          <w:rFonts w:hint="eastAsia" w:ascii="宋体" w:hAnsi="宋体" w:eastAsia="方正黑体简体" w:cs="方正黑体简体"/>
          <w:b/>
          <w:sz w:val="30"/>
          <w:szCs w:val="30"/>
        </w:rPr>
        <w:tab/>
      </w:r>
      <w:r>
        <w:rPr>
          <w:rFonts w:hint="eastAsia" w:ascii="宋体" w:hAnsi="宋体" w:eastAsia="方正黑体简体" w:cs="方正黑体简体"/>
          <w:b/>
          <w:sz w:val="30"/>
          <w:szCs w:val="30"/>
        </w:rPr>
        <w:fldChar w:fldCharType="begin"/>
      </w:r>
      <w:r>
        <w:rPr>
          <w:rFonts w:hint="eastAsia" w:ascii="宋体" w:hAnsi="宋体" w:eastAsia="方正黑体简体" w:cs="方正黑体简体"/>
          <w:b/>
          <w:sz w:val="30"/>
          <w:szCs w:val="30"/>
        </w:rPr>
        <w:instrText xml:space="preserve"> PAGEREF _Toc3610 \h </w:instrText>
      </w:r>
      <w:r>
        <w:rPr>
          <w:rFonts w:hint="eastAsia" w:ascii="宋体" w:hAnsi="宋体" w:eastAsia="方正黑体简体" w:cs="方正黑体简体"/>
          <w:b/>
          <w:sz w:val="30"/>
          <w:szCs w:val="30"/>
        </w:rPr>
        <w:fldChar w:fldCharType="separate"/>
      </w:r>
      <w:r>
        <w:rPr>
          <w:rFonts w:hint="eastAsia" w:ascii="宋体" w:hAnsi="宋体" w:eastAsia="方正黑体简体" w:cs="方正黑体简体"/>
          <w:b/>
          <w:sz w:val="30"/>
          <w:szCs w:val="30"/>
        </w:rPr>
        <w:t>22</w:t>
      </w:r>
      <w:r>
        <w:rPr>
          <w:rFonts w:hint="eastAsia" w:ascii="宋体" w:hAnsi="宋体" w:eastAsia="方正黑体简体" w:cs="方正黑体简体"/>
          <w:b/>
          <w:sz w:val="30"/>
          <w:szCs w:val="30"/>
        </w:rPr>
        <w:fldChar w:fldCharType="end"/>
      </w:r>
      <w:r>
        <w:rPr>
          <w:rFonts w:hint="eastAsia" w:ascii="宋体" w:hAnsi="宋体" w:eastAsia="方正黑体简体" w:cs="方正黑体简体"/>
          <w:b/>
          <w:sz w:val="30"/>
          <w:szCs w:val="30"/>
        </w:rPr>
        <w:fldChar w:fldCharType="end"/>
      </w:r>
    </w:p>
    <w:p w14:paraId="4A2836E9">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_Toc30429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一、收入支出决算总表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_Toc30429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23119B2">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_Toc19026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二、收入决算表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_Toc19026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990C66C">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_Toc17254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三、支出决算表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_Toc17254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438FEFF">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_Toc26563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四、财政拨款收入支出决算总表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_Toc26563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5476887">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_Toc19980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五、财政拨款支出决算明细表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_Toc19980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FCC4092">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_Toc23169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六、一般公共预算财政拨款支出决算表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_Toc23169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06213362">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_Toc2783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七、一般公共预算财政拨款支出决算明细表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_Toc2783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2AA7D567">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_Toc19357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九、一般公共预算财政拨款项目支出决算表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_Toc19357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435746A">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_Toc7095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十、政府性基金预算财政拨款收入支出决算表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_Toc7095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057269B">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_Toc14027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十一、国有资本经营预算财政拨款收入支出决算表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_Toc14027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57729913">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_Toc21335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十二、国有资本经营预算财政拨款支出决算表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_Toc21335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4AB0658C">
      <w:pPr>
        <w:pStyle w:val="15"/>
        <w:keepNext w:val="0"/>
        <w:keepLines w:val="0"/>
        <w:pageBreakBefore w:val="0"/>
        <w:widowControl w:val="0"/>
        <w:tabs>
          <w:tab w:val="right" w:leader="dot" w:pos="8360"/>
          <w:tab w:val="clear" w:pos="8296"/>
        </w:tabs>
        <w:kinsoku/>
        <w:wordWrap/>
        <w:overflowPunct/>
        <w:topLinePunct w:val="0"/>
        <w:autoSpaceDE/>
        <w:autoSpaceDN/>
        <w:bidi w:val="0"/>
        <w:adjustRightInd/>
        <w:snapToGrid/>
        <w:spacing w:line="580" w:lineRule="exact"/>
        <w:textAlignment w:val="auto"/>
        <w:rPr>
          <w:rFonts w:hint="eastAsia" w:ascii="宋体" w:hAnsi="宋体" w:eastAsia="方正仿宋简体" w:cs="方正仿宋简体"/>
          <w:sz w:val="30"/>
          <w:szCs w:val="30"/>
          <w:lang w:val="zh-CN" w:eastAsia="zh-CN"/>
        </w:rPr>
      </w:pP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HYPERLINK \l _Toc17551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en-US" w:eastAsia="zh-CN"/>
        </w:rPr>
        <w:t>十三、财政拨款“三公”经费支出决算表</w:t>
      </w:r>
      <w:r>
        <w:rPr>
          <w:rFonts w:hint="eastAsia" w:ascii="宋体" w:hAnsi="宋体" w:eastAsia="方正仿宋简体" w:cs="方正仿宋简体"/>
          <w:sz w:val="30"/>
          <w:szCs w:val="30"/>
          <w:lang w:val="zh-CN" w:eastAsia="zh-CN"/>
        </w:rPr>
        <w:tab/>
      </w:r>
      <w:r>
        <w:rPr>
          <w:rFonts w:hint="eastAsia" w:ascii="宋体" w:hAnsi="宋体" w:eastAsia="方正仿宋简体" w:cs="方正仿宋简体"/>
          <w:sz w:val="30"/>
          <w:szCs w:val="30"/>
          <w:lang w:val="zh-CN" w:eastAsia="zh-CN"/>
        </w:rPr>
        <w:fldChar w:fldCharType="begin"/>
      </w:r>
      <w:r>
        <w:rPr>
          <w:rFonts w:hint="eastAsia" w:ascii="宋体" w:hAnsi="宋体" w:eastAsia="方正仿宋简体" w:cs="方正仿宋简体"/>
          <w:sz w:val="30"/>
          <w:szCs w:val="30"/>
          <w:lang w:val="zh-CN" w:eastAsia="zh-CN"/>
        </w:rPr>
        <w:instrText xml:space="preserve"> PAGEREF _Toc17551 \h </w:instrText>
      </w:r>
      <w:r>
        <w:rPr>
          <w:rFonts w:hint="eastAsia" w:ascii="宋体" w:hAnsi="宋体" w:eastAsia="方正仿宋简体" w:cs="方正仿宋简体"/>
          <w:sz w:val="30"/>
          <w:szCs w:val="30"/>
          <w:lang w:val="zh-CN" w:eastAsia="zh-CN"/>
        </w:rPr>
        <w:fldChar w:fldCharType="separate"/>
      </w:r>
      <w:r>
        <w:rPr>
          <w:rFonts w:hint="eastAsia" w:ascii="宋体" w:hAnsi="宋体" w:eastAsia="方正仿宋简体" w:cs="方正仿宋简体"/>
          <w:sz w:val="30"/>
          <w:szCs w:val="30"/>
          <w:lang w:val="zh-CN" w:eastAsia="zh-CN"/>
        </w:rPr>
        <w:t>22</w:t>
      </w:r>
      <w:r>
        <w:rPr>
          <w:rFonts w:hint="eastAsia" w:ascii="宋体" w:hAnsi="宋体" w:eastAsia="方正仿宋简体" w:cs="方正仿宋简体"/>
          <w:sz w:val="30"/>
          <w:szCs w:val="30"/>
          <w:lang w:val="zh-CN" w:eastAsia="zh-CN"/>
        </w:rPr>
        <w:fldChar w:fldCharType="end"/>
      </w:r>
      <w:r>
        <w:rPr>
          <w:rFonts w:hint="eastAsia" w:ascii="宋体" w:hAnsi="宋体" w:eastAsia="方正仿宋简体" w:cs="方正仿宋简体"/>
          <w:sz w:val="30"/>
          <w:szCs w:val="30"/>
          <w:lang w:val="zh-CN" w:eastAsia="zh-CN"/>
        </w:rPr>
        <w:fldChar w:fldCharType="end"/>
      </w:r>
    </w:p>
    <w:p w14:paraId="663FBE04">
      <w:pPr>
        <w:keepNext w:val="0"/>
        <w:keepLines w:val="0"/>
        <w:pageBreakBefore w:val="0"/>
        <w:widowControl w:val="0"/>
        <w:kinsoku/>
        <w:wordWrap/>
        <w:overflowPunct/>
        <w:topLinePunct w:val="0"/>
        <w:autoSpaceDE/>
        <w:autoSpaceDN/>
        <w:bidi w:val="0"/>
        <w:adjustRightInd/>
        <w:snapToGrid/>
        <w:spacing w:line="580" w:lineRule="exact"/>
        <w:textAlignment w:val="auto"/>
        <w:rPr>
          <w:rFonts w:ascii="宋体" w:hAnsi="宋体"/>
        </w:rPr>
      </w:pPr>
      <w:r>
        <w:rPr>
          <w:rFonts w:ascii="宋体" w:hAnsi="宋体"/>
        </w:rPr>
        <w:fldChar w:fldCharType="end"/>
      </w:r>
    </w:p>
    <w:p w14:paraId="6B67AC41">
      <w:pPr>
        <w:keepNext w:val="0"/>
        <w:keepLines w:val="0"/>
        <w:pageBreakBefore w:val="0"/>
        <w:widowControl/>
        <w:kinsoku/>
        <w:wordWrap/>
        <w:overflowPunct/>
        <w:topLinePunct w:val="0"/>
        <w:autoSpaceDE/>
        <w:autoSpaceDN/>
        <w:bidi w:val="0"/>
        <w:spacing w:line="560" w:lineRule="exact"/>
        <w:jc w:val="left"/>
        <w:textAlignment w:val="auto"/>
        <w:rPr>
          <w:rFonts w:hint="eastAsia" w:ascii="宋体" w:hAnsi="宋体" w:eastAsia="仿宋_GB2312" w:cs="仿宋_GB2312"/>
          <w:bCs/>
          <w:color w:val="auto"/>
          <w:kern w:val="44"/>
          <w:sz w:val="32"/>
          <w:szCs w:val="32"/>
          <w:highlight w:val="none"/>
        </w:rPr>
      </w:pPr>
      <w:r>
        <w:rPr>
          <w:rFonts w:hint="eastAsia" w:ascii="宋体" w:hAnsi="宋体" w:eastAsia="仿宋_GB2312" w:cs="仿宋_GB2312"/>
          <w:b/>
          <w:color w:val="auto"/>
          <w:sz w:val="32"/>
          <w:szCs w:val="32"/>
          <w:highlight w:val="none"/>
        </w:rPr>
        <w:br w:type="page"/>
      </w:r>
    </w:p>
    <w:p w14:paraId="207AB3BA">
      <w:pPr>
        <w:pStyle w:val="3"/>
        <w:keepNext/>
        <w:keepLines/>
        <w:pageBreakBefore w:val="0"/>
        <w:widowControl w:val="0"/>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color w:val="auto"/>
          <w:highlight w:val="none"/>
          <w:lang w:eastAsia="zh-CN"/>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14" w:name="_Toc28089"/>
      <w:bookmarkStart w:id="15" w:name="_Toc10180"/>
    </w:p>
    <w:p w14:paraId="28BD420F">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sz w:val="44"/>
          <w:szCs w:val="44"/>
          <w:lang w:eastAsia="zh-CN"/>
        </w:rPr>
      </w:pPr>
      <w:r>
        <w:rPr>
          <w:rFonts w:hint="eastAsia" w:ascii="宋体" w:hAnsi="宋体" w:eastAsia="方正小标宋简体" w:cs="方正小标宋简体"/>
          <w:b w:val="0"/>
          <w:bCs/>
          <w:color w:val="auto"/>
          <w:kern w:val="44"/>
          <w:sz w:val="44"/>
          <w:szCs w:val="44"/>
          <w:lang w:val="en-US" w:eastAsia="zh-CN" w:bidi="ar-SA"/>
        </w:rPr>
        <w:t xml:space="preserve">第一部分 </w:t>
      </w:r>
      <w:r>
        <w:rPr>
          <w:rFonts w:hint="eastAsia" w:ascii="宋体" w:hAnsi="宋体" w:eastAsia="方正小标宋简体" w:cs="方正小标宋简体"/>
          <w:b w:val="0"/>
          <w:color w:val="auto"/>
          <w:sz w:val="44"/>
          <w:szCs w:val="44"/>
          <w:highlight w:val="none"/>
          <w:lang w:eastAsia="zh-CN"/>
        </w:rPr>
        <w:t>单位概况</w:t>
      </w:r>
      <w:bookmarkEnd w:id="12"/>
      <w:bookmarkEnd w:id="13"/>
      <w:bookmarkEnd w:id="14"/>
      <w:bookmarkEnd w:id="15"/>
    </w:p>
    <w:p w14:paraId="0290A9E3">
      <w:pPr>
        <w:pStyle w:val="2"/>
        <w:pageBreakBefore w:val="0"/>
        <w:widowControl w:val="0"/>
        <w:kinsoku/>
        <w:wordWrap/>
        <w:overflowPunct/>
        <w:topLinePunct w:val="0"/>
        <w:autoSpaceDE/>
        <w:autoSpaceDN/>
        <w:bidi w:val="0"/>
        <w:adjustRightInd/>
        <w:snapToGrid/>
        <w:spacing w:line="660" w:lineRule="exact"/>
        <w:textAlignment w:val="auto"/>
        <w:rPr>
          <w:rFonts w:hint="eastAsia" w:ascii="宋体" w:hAnsi="宋体"/>
          <w:lang w:eastAsia="zh-CN"/>
        </w:rPr>
      </w:pPr>
    </w:p>
    <w:p w14:paraId="647D11E3">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eastAsia="zh-CN"/>
        </w:rPr>
      </w:pPr>
      <w:bookmarkStart w:id="16" w:name="_Toc15377197"/>
      <w:bookmarkStart w:id="17" w:name="_Toc15396600"/>
      <w:bookmarkStart w:id="18" w:name="_Toc30511"/>
      <w:bookmarkStart w:id="19" w:name="_Toc10643"/>
      <w:r>
        <w:rPr>
          <w:rFonts w:hint="eastAsia" w:ascii="宋体" w:hAnsi="宋体" w:eastAsia="方正黑体简体" w:cs="方正黑体简体"/>
          <w:b w:val="0"/>
          <w:color w:val="auto"/>
          <w:highlight w:val="none"/>
        </w:rPr>
        <w:t>一、</w:t>
      </w:r>
      <w:bookmarkEnd w:id="16"/>
      <w:bookmarkEnd w:id="17"/>
      <w:r>
        <w:rPr>
          <w:rFonts w:hint="eastAsia" w:ascii="宋体" w:hAnsi="宋体" w:eastAsia="方正黑体简体" w:cs="方正黑体简体"/>
          <w:b w:val="0"/>
          <w:color w:val="auto"/>
          <w:highlight w:val="none"/>
          <w:lang w:eastAsia="zh-CN"/>
        </w:rPr>
        <w:t>职能职责</w:t>
      </w:r>
      <w:bookmarkEnd w:id="18"/>
      <w:bookmarkEnd w:id="19"/>
    </w:p>
    <w:p w14:paraId="6B78DAE7">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仿宋简体" w:cs="方正仿宋简体"/>
          <w:lang w:eastAsia="zh-CN"/>
        </w:rPr>
      </w:pPr>
      <w:r>
        <w:rPr>
          <w:rFonts w:hint="eastAsia" w:ascii="宋体" w:hAnsi="宋体" w:eastAsia="方正仿宋简体" w:cs="方正仿宋简体"/>
          <w:b/>
          <w:bCs/>
          <w:color w:val="000000"/>
          <w:sz w:val="32"/>
          <w:szCs w:val="32"/>
          <w:u w:val="none"/>
          <w:lang w:val="en-US" w:eastAsia="zh-CN"/>
        </w:rPr>
        <w:t>一是</w:t>
      </w:r>
      <w:r>
        <w:rPr>
          <w:rFonts w:hint="eastAsia" w:ascii="宋体" w:hAnsi="宋体" w:eastAsia="方正仿宋简体" w:cs="方正仿宋简体"/>
          <w:color w:val="000000"/>
          <w:sz w:val="32"/>
          <w:szCs w:val="32"/>
          <w:u w:val="none"/>
          <w:lang w:val="en-US" w:eastAsia="zh-CN"/>
        </w:rPr>
        <w:t>负责党的纪律检查工作；</w:t>
      </w:r>
      <w:r>
        <w:rPr>
          <w:rFonts w:hint="eastAsia" w:ascii="宋体" w:hAnsi="宋体" w:eastAsia="方正仿宋简体" w:cs="方正仿宋简体"/>
          <w:b/>
          <w:bCs/>
          <w:color w:val="000000"/>
          <w:sz w:val="32"/>
          <w:szCs w:val="32"/>
          <w:u w:val="none"/>
          <w:lang w:val="en-US" w:eastAsia="zh-CN"/>
        </w:rPr>
        <w:t>二是</w:t>
      </w:r>
      <w:r>
        <w:rPr>
          <w:rFonts w:hint="eastAsia" w:ascii="宋体" w:hAnsi="宋体" w:eastAsia="方正仿宋简体" w:cs="方正仿宋简体"/>
          <w:color w:val="000000"/>
          <w:sz w:val="32"/>
          <w:szCs w:val="32"/>
          <w:u w:val="none"/>
          <w:lang w:val="en-US" w:eastAsia="zh-CN"/>
        </w:rPr>
        <w:t>依照党的章程和其他党内法规履行监督、执纪、问责职责；</w:t>
      </w:r>
      <w:r>
        <w:rPr>
          <w:rFonts w:hint="eastAsia" w:ascii="宋体" w:hAnsi="宋体" w:eastAsia="方正仿宋简体" w:cs="方正仿宋简体"/>
          <w:b/>
          <w:bCs/>
          <w:color w:val="000000"/>
          <w:sz w:val="32"/>
          <w:szCs w:val="32"/>
          <w:u w:val="none"/>
          <w:lang w:val="en-US" w:eastAsia="zh-CN"/>
        </w:rPr>
        <w:t>三是</w:t>
      </w:r>
      <w:r>
        <w:rPr>
          <w:rFonts w:hint="eastAsia" w:ascii="宋体" w:hAnsi="宋体" w:eastAsia="方正仿宋简体" w:cs="方正仿宋简体"/>
          <w:color w:val="000000"/>
          <w:sz w:val="32"/>
          <w:szCs w:val="32"/>
          <w:u w:val="none"/>
          <w:lang w:val="en-US" w:eastAsia="zh-CN"/>
        </w:rPr>
        <w:t>负责全县监察工作；</w:t>
      </w:r>
      <w:r>
        <w:rPr>
          <w:rFonts w:hint="eastAsia" w:ascii="宋体" w:hAnsi="宋体" w:eastAsia="方正仿宋简体" w:cs="方正仿宋简体"/>
          <w:b/>
          <w:bCs/>
          <w:color w:val="000000"/>
          <w:sz w:val="32"/>
          <w:szCs w:val="32"/>
          <w:u w:val="none"/>
          <w:lang w:val="en-US" w:eastAsia="zh-CN"/>
        </w:rPr>
        <w:t>四是</w:t>
      </w:r>
      <w:r>
        <w:rPr>
          <w:rFonts w:hint="eastAsia" w:ascii="宋体" w:hAnsi="宋体" w:eastAsia="方正仿宋简体" w:cs="方正仿宋简体"/>
          <w:color w:val="000000"/>
          <w:sz w:val="32"/>
          <w:szCs w:val="32"/>
          <w:u w:val="none"/>
          <w:lang w:val="en-US" w:eastAsia="zh-CN"/>
        </w:rPr>
        <w:t>依照法律规定履行监督、调查、处置职责；</w:t>
      </w:r>
      <w:r>
        <w:rPr>
          <w:rFonts w:hint="eastAsia" w:ascii="宋体" w:hAnsi="宋体" w:eastAsia="方正仿宋简体" w:cs="方正仿宋简体"/>
          <w:b/>
          <w:bCs/>
          <w:color w:val="000000"/>
          <w:sz w:val="32"/>
          <w:szCs w:val="32"/>
          <w:u w:val="none"/>
          <w:lang w:val="en-US" w:eastAsia="zh-CN"/>
        </w:rPr>
        <w:t>五是</w:t>
      </w:r>
      <w:r>
        <w:rPr>
          <w:rFonts w:hint="eastAsia" w:ascii="宋体" w:hAnsi="宋体" w:eastAsia="方正仿宋简体" w:cs="方正仿宋简体"/>
          <w:color w:val="000000"/>
          <w:sz w:val="32"/>
          <w:szCs w:val="32"/>
          <w:u w:val="none"/>
          <w:lang w:val="en-US" w:eastAsia="zh-CN"/>
        </w:rPr>
        <w:t>负责组织协调全面从严治党、党风廉政建设和反腐败宣传教育工作；</w:t>
      </w:r>
      <w:r>
        <w:rPr>
          <w:rFonts w:hint="eastAsia" w:ascii="宋体" w:hAnsi="宋体" w:eastAsia="方正仿宋简体" w:cs="方正仿宋简体"/>
          <w:b/>
          <w:bCs/>
          <w:color w:val="000000"/>
          <w:sz w:val="32"/>
          <w:szCs w:val="32"/>
          <w:u w:val="none"/>
          <w:lang w:val="en-US" w:eastAsia="zh-CN"/>
        </w:rPr>
        <w:t>六是</w:t>
      </w:r>
      <w:r>
        <w:rPr>
          <w:rFonts w:hint="eastAsia" w:ascii="宋体" w:hAnsi="宋体" w:eastAsia="方正仿宋简体" w:cs="方正仿宋简体"/>
          <w:color w:val="000000"/>
          <w:sz w:val="32"/>
          <w:szCs w:val="32"/>
          <w:highlight w:val="none"/>
          <w:u w:val="none"/>
          <w:lang w:val="en-US" w:eastAsia="zh-CN"/>
        </w:rPr>
        <w:t>负责综合分析全面从严治党、党风廉政建设和反腐败工作情况，对纪检监察工作重要理论及实践问题进行调查研究；</w:t>
      </w:r>
      <w:r>
        <w:rPr>
          <w:rFonts w:hint="eastAsia" w:ascii="宋体" w:hAnsi="宋体" w:eastAsia="方正仿宋简体" w:cs="方正仿宋简体"/>
          <w:b/>
          <w:bCs/>
          <w:color w:val="000000"/>
          <w:sz w:val="32"/>
          <w:szCs w:val="32"/>
          <w:u w:val="none"/>
          <w:lang w:val="en-US" w:eastAsia="zh-CN"/>
        </w:rPr>
        <w:t>七是</w:t>
      </w:r>
      <w:r>
        <w:rPr>
          <w:rFonts w:hint="eastAsia" w:ascii="宋体" w:hAnsi="宋体" w:eastAsia="方正仿宋简体" w:cs="方正仿宋简体"/>
          <w:color w:val="000000"/>
          <w:sz w:val="32"/>
          <w:szCs w:val="32"/>
          <w:u w:val="none"/>
          <w:lang w:val="en-US" w:eastAsia="zh-CN"/>
        </w:rPr>
        <w:t>在上级纪委监委的领导下，加强对反腐败国际追逃追赃和防逃工作的组织协调，督促有关单位做好相关工作；</w:t>
      </w:r>
      <w:r>
        <w:rPr>
          <w:rFonts w:hint="eastAsia" w:ascii="宋体" w:hAnsi="宋体" w:eastAsia="方正仿宋简体" w:cs="方正仿宋简体"/>
          <w:b/>
          <w:bCs/>
          <w:color w:val="000000"/>
          <w:sz w:val="32"/>
          <w:szCs w:val="32"/>
          <w:u w:val="none"/>
          <w:lang w:val="en-US" w:eastAsia="zh-CN"/>
        </w:rPr>
        <w:t>八是</w:t>
      </w:r>
      <w:r>
        <w:rPr>
          <w:rFonts w:hint="eastAsia" w:ascii="宋体" w:hAnsi="宋体" w:eastAsia="方正仿宋简体" w:cs="方正仿宋简体"/>
          <w:color w:val="000000"/>
          <w:sz w:val="32"/>
          <w:szCs w:val="32"/>
          <w:u w:val="none"/>
          <w:lang w:val="en-US" w:eastAsia="zh-CN"/>
        </w:rPr>
        <w:t>根据干部管理权限，负责纪检监察系统领导班子建设、干部队伍建设和组织建设的综合规划、政策研究、制度建设和业务指导；</w:t>
      </w:r>
      <w:r>
        <w:rPr>
          <w:rFonts w:hint="eastAsia" w:ascii="宋体" w:hAnsi="宋体" w:eastAsia="方正仿宋简体" w:cs="方正仿宋简体"/>
          <w:b/>
          <w:bCs/>
          <w:color w:val="000000"/>
          <w:sz w:val="32"/>
          <w:szCs w:val="32"/>
          <w:u w:val="none"/>
          <w:lang w:val="en-US" w:eastAsia="zh-CN"/>
        </w:rPr>
        <w:t>九是</w:t>
      </w:r>
      <w:r>
        <w:rPr>
          <w:rFonts w:hint="eastAsia" w:ascii="宋体" w:hAnsi="宋体" w:eastAsia="方正仿宋简体" w:cs="方正仿宋简体"/>
          <w:color w:val="000000"/>
          <w:sz w:val="32"/>
          <w:szCs w:val="32"/>
          <w:u w:val="none"/>
          <w:lang w:val="en-US" w:eastAsia="zh-CN"/>
        </w:rPr>
        <w:t>完成县委和上级纪委监委交办的其他工作。</w:t>
      </w:r>
    </w:p>
    <w:p w14:paraId="6D010AFF">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20" w:name="_Toc15377200"/>
      <w:bookmarkStart w:id="21" w:name="_Toc10148"/>
      <w:bookmarkStart w:id="22" w:name="_Toc32634"/>
      <w:bookmarkStart w:id="23" w:name="_Toc15396601"/>
      <w:r>
        <w:rPr>
          <w:rFonts w:hint="eastAsia" w:ascii="宋体" w:hAnsi="宋体" w:eastAsia="方正黑体简体" w:cs="方正黑体简体"/>
          <w:b w:val="0"/>
          <w:color w:val="auto"/>
          <w:highlight w:val="none"/>
          <w:lang w:val="en-US" w:eastAsia="zh-CN"/>
        </w:rPr>
        <w:t>二、</w:t>
      </w:r>
      <w:r>
        <w:rPr>
          <w:rFonts w:hint="eastAsia" w:ascii="宋体" w:hAnsi="宋体" w:eastAsia="方正黑体简体" w:cs="方正黑体简体"/>
          <w:b w:val="0"/>
          <w:color w:val="auto"/>
          <w:highlight w:val="none"/>
        </w:rPr>
        <w:t>机构设置</w:t>
      </w:r>
      <w:bookmarkEnd w:id="20"/>
      <w:bookmarkEnd w:id="21"/>
      <w:bookmarkEnd w:id="22"/>
      <w:bookmarkEnd w:id="23"/>
    </w:p>
    <w:p w14:paraId="26B26B1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中国共产党安岳县纪律检查委员会（本级），下设独立编制机构1个，代管机构1个，派出机构10个，派驻机构17个。纳入县纪委2024年度部门决算编制范围的独立编制机构为安岳县纪委监委信息化和后勤服务中心。</w:t>
      </w:r>
    </w:p>
    <w:p w14:paraId="0CE5D954">
      <w:pPr>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方正小标宋简体" w:cs="方正小标宋简体"/>
          <w:b w:val="0"/>
          <w:color w:val="auto"/>
          <w:highlight w:val="none"/>
        </w:rPr>
      </w:pPr>
      <w:bookmarkStart w:id="24" w:name="_Toc15377204"/>
      <w:bookmarkStart w:id="25" w:name="_Toc15396602"/>
      <w:r>
        <w:rPr>
          <w:rFonts w:hint="eastAsia" w:ascii="宋体" w:hAnsi="宋体" w:eastAsia="方正小标宋简体" w:cs="方正小标宋简体"/>
          <w:b w:val="0"/>
          <w:color w:val="auto"/>
          <w:highlight w:val="none"/>
        </w:rPr>
        <w:br w:type="page"/>
      </w:r>
    </w:p>
    <w:p w14:paraId="1CBB9D0D">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bCs/>
          <w:color w:val="auto"/>
          <w:kern w:val="44"/>
          <w:sz w:val="44"/>
          <w:szCs w:val="44"/>
          <w:lang w:val="en-US" w:eastAsia="zh-CN" w:bidi="ar-SA"/>
        </w:rPr>
      </w:pPr>
      <w:bookmarkStart w:id="26" w:name="_Toc1673"/>
      <w:bookmarkStart w:id="27" w:name="_Toc11619"/>
      <w:r>
        <w:rPr>
          <w:rFonts w:hint="eastAsia" w:ascii="宋体" w:hAnsi="宋体" w:eastAsia="方正小标宋简体" w:cs="方正小标宋简体"/>
          <w:b w:val="0"/>
          <w:bCs/>
          <w:color w:val="auto"/>
          <w:kern w:val="44"/>
          <w:sz w:val="44"/>
          <w:szCs w:val="44"/>
          <w:lang w:val="en-US" w:eastAsia="zh-CN" w:bidi="ar-SA"/>
        </w:rPr>
        <w:t>第二部分2024年度单位决算情况说明</w:t>
      </w:r>
      <w:bookmarkEnd w:id="24"/>
      <w:bookmarkEnd w:id="25"/>
      <w:bookmarkEnd w:id="26"/>
      <w:bookmarkEnd w:id="27"/>
    </w:p>
    <w:p w14:paraId="3B3F3AA2">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bCs/>
          <w:color w:val="auto"/>
          <w:kern w:val="44"/>
          <w:sz w:val="44"/>
          <w:szCs w:val="44"/>
          <w:lang w:val="en-US" w:eastAsia="zh-CN" w:bidi="ar-SA"/>
        </w:rPr>
      </w:pPr>
    </w:p>
    <w:p w14:paraId="09965733">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28" w:name="_Toc15377205"/>
      <w:bookmarkStart w:id="29" w:name="_Toc15396603"/>
      <w:bookmarkStart w:id="30" w:name="_Toc15621"/>
      <w:bookmarkStart w:id="31" w:name="_Toc10171"/>
      <w:r>
        <w:rPr>
          <w:rFonts w:hint="eastAsia" w:ascii="宋体" w:hAnsi="宋体" w:eastAsia="方正黑体简体" w:cs="方正黑体简体"/>
          <w:b w:val="0"/>
          <w:color w:val="auto"/>
          <w:highlight w:val="none"/>
          <w:lang w:val="en-US" w:eastAsia="zh-CN"/>
        </w:rPr>
        <w:t>一、收入支出决算总体情况说明</w:t>
      </w:r>
      <w:bookmarkEnd w:id="28"/>
      <w:bookmarkEnd w:id="29"/>
      <w:bookmarkEnd w:id="30"/>
      <w:bookmarkEnd w:id="31"/>
    </w:p>
    <w:p w14:paraId="6D21E6B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2024年度收入、支出总计均为3376.56万元。与2023年度相比，收入、支出总计各增加281.39万元，增长9.09%。主要变动原因一是正常增人增资，二是政府性基金财政拨款、项目支出增加。</w:t>
      </w:r>
    </w:p>
    <w:p w14:paraId="147DC775">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1312" behindDoc="0" locked="0" layoutInCell="1" allowOverlap="1">
            <wp:simplePos x="0" y="0"/>
            <wp:positionH relativeFrom="column">
              <wp:posOffset>747395</wp:posOffset>
            </wp:positionH>
            <wp:positionV relativeFrom="page">
              <wp:posOffset>4189095</wp:posOffset>
            </wp:positionV>
            <wp:extent cx="4319905" cy="2339975"/>
            <wp:effectExtent l="4445" t="4445" r="6350" b="508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宋体" w:hAnsi="宋体" w:eastAsia="方正仿宋简体" w:cs="方正仿宋简体"/>
          <w:b w:val="0"/>
          <w:bCs w:val="0"/>
          <w:color w:val="000000"/>
          <w:sz w:val="32"/>
          <w:szCs w:val="32"/>
          <w:u w:val="none"/>
          <w:lang w:val="en-US" w:eastAsia="zh-CN"/>
        </w:rPr>
        <w:t>（图1：收入、支出决算总计变动情况图）</w:t>
      </w:r>
    </w:p>
    <w:p w14:paraId="0E647A1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32" w:name="_Toc15377206"/>
      <w:bookmarkStart w:id="33" w:name="_Toc7795"/>
      <w:bookmarkStart w:id="34" w:name="_Toc15396604"/>
      <w:bookmarkStart w:id="35" w:name="_Toc2418"/>
      <w:r>
        <w:rPr>
          <w:rFonts w:hint="eastAsia" w:ascii="宋体" w:hAnsi="宋体" w:eastAsia="方正黑体简体" w:cs="方正黑体简体"/>
          <w:b w:val="0"/>
          <w:color w:val="auto"/>
          <w:highlight w:val="none"/>
          <w:lang w:val="en-US" w:eastAsia="zh-CN"/>
        </w:rPr>
        <w:t>二、收入决算情况说明</w:t>
      </w:r>
      <w:bookmarkEnd w:id="32"/>
      <w:bookmarkEnd w:id="33"/>
      <w:bookmarkEnd w:id="34"/>
      <w:bookmarkEnd w:id="35"/>
    </w:p>
    <w:p w14:paraId="7093BD1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2024年度本年收入合计3356.87万元，其中：一般公共预算财政拨款收入3100.75万元，占92.37%；政府性基金预算财政拨款收入246.77万元，占7.35%；其他收入9.35万元，占0.28%。</w:t>
      </w:r>
    </w:p>
    <w:p w14:paraId="233F5ED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p>
    <w:p w14:paraId="02CC2BB0">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2336" behindDoc="0" locked="0" layoutInCell="1" allowOverlap="1">
            <wp:simplePos x="0" y="0"/>
            <wp:positionH relativeFrom="column">
              <wp:posOffset>619760</wp:posOffset>
            </wp:positionH>
            <wp:positionV relativeFrom="page">
              <wp:posOffset>1445260</wp:posOffset>
            </wp:positionV>
            <wp:extent cx="4432300" cy="2122805"/>
            <wp:effectExtent l="4445" t="4445" r="8255" b="635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宋体" w:hAnsi="宋体" w:eastAsia="方正仿宋简体" w:cs="方正仿宋简体"/>
          <w:b w:val="0"/>
          <w:bCs w:val="0"/>
          <w:color w:val="000000"/>
          <w:sz w:val="32"/>
          <w:szCs w:val="32"/>
          <w:u w:val="none"/>
          <w:lang w:val="en-US" w:eastAsia="zh-CN"/>
        </w:rPr>
        <w:t>（图2：收入决算结构图）</w:t>
      </w:r>
    </w:p>
    <w:p w14:paraId="6DF91032">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36" w:name="_Toc15396605"/>
      <w:bookmarkStart w:id="37" w:name="_Toc15377207"/>
      <w:bookmarkStart w:id="38" w:name="_Toc7272"/>
      <w:bookmarkStart w:id="39" w:name="_Toc13272"/>
      <w:r>
        <w:rPr>
          <w:rFonts w:hint="eastAsia" w:ascii="宋体" w:hAnsi="宋体" w:eastAsia="方正黑体简体" w:cs="方正黑体简体"/>
          <w:b w:val="0"/>
          <w:color w:val="auto"/>
          <w:highlight w:val="none"/>
          <w:lang w:val="en-US" w:eastAsia="zh-CN"/>
        </w:rPr>
        <w:t>三、支出决算情况说明</w:t>
      </w:r>
      <w:bookmarkEnd w:id="36"/>
      <w:bookmarkEnd w:id="37"/>
      <w:bookmarkEnd w:id="38"/>
      <w:bookmarkEnd w:id="39"/>
    </w:p>
    <w:p w14:paraId="58F33C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2024年度本年支出合计3350.09万元，其中：基本支出2846.32万元，占84.96%；项目支出503.77万元，占15.04%。</w:t>
      </w:r>
    </w:p>
    <w:p w14:paraId="0D6BA860">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3360" behindDoc="0" locked="0" layoutInCell="1" allowOverlap="1">
            <wp:simplePos x="0" y="0"/>
            <wp:positionH relativeFrom="column">
              <wp:posOffset>708025</wp:posOffset>
            </wp:positionH>
            <wp:positionV relativeFrom="page">
              <wp:posOffset>5229860</wp:posOffset>
            </wp:positionV>
            <wp:extent cx="4229100" cy="2221865"/>
            <wp:effectExtent l="4445" t="4445" r="8255" b="8890"/>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宋体" w:hAnsi="宋体" w:eastAsia="方正仿宋简体" w:cs="方正仿宋简体"/>
          <w:b w:val="0"/>
          <w:bCs w:val="0"/>
          <w:color w:val="000000"/>
          <w:sz w:val="32"/>
          <w:szCs w:val="32"/>
          <w:u w:val="none"/>
          <w:lang w:val="en-US" w:eastAsia="zh-CN"/>
        </w:rPr>
        <w:t>（图3：支出决算结构图）</w:t>
      </w:r>
    </w:p>
    <w:p w14:paraId="34D41AA9">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40" w:name="_Toc15377208"/>
      <w:bookmarkStart w:id="41" w:name="_Toc15396606"/>
      <w:bookmarkStart w:id="42" w:name="_Toc15058"/>
      <w:bookmarkStart w:id="43" w:name="_Toc5512"/>
      <w:r>
        <w:rPr>
          <w:rFonts w:hint="eastAsia" w:ascii="宋体" w:hAnsi="宋体" w:eastAsia="方正黑体简体" w:cs="方正黑体简体"/>
          <w:b w:val="0"/>
          <w:color w:val="auto"/>
          <w:highlight w:val="none"/>
          <w:lang w:val="en-US" w:eastAsia="zh-CN"/>
        </w:rPr>
        <w:t>四、财政拨款收入支出决算总体情况说明</w:t>
      </w:r>
      <w:bookmarkEnd w:id="40"/>
      <w:bookmarkEnd w:id="41"/>
      <w:bookmarkEnd w:id="42"/>
      <w:bookmarkEnd w:id="43"/>
    </w:p>
    <w:p w14:paraId="56A587C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2024年度财政拨款收入、支出总计均为3347.52万元。与2023年度相比，财政拨款收入总计、支出总计各增加274.04万元，增长8.92%。主要变动原因一是正常增人增资，二是政府性基金财政拨款、项目支出增加。</w:t>
      </w:r>
    </w:p>
    <w:p w14:paraId="562C3F28">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4384" behindDoc="0" locked="0" layoutInCell="1" allowOverlap="1">
            <wp:simplePos x="0" y="0"/>
            <wp:positionH relativeFrom="column">
              <wp:posOffset>675005</wp:posOffset>
            </wp:positionH>
            <wp:positionV relativeFrom="page">
              <wp:posOffset>1861185</wp:posOffset>
            </wp:positionV>
            <wp:extent cx="4243070" cy="2339975"/>
            <wp:effectExtent l="4445" t="4445" r="6985" b="508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宋体" w:hAnsi="宋体" w:eastAsia="方正仿宋简体" w:cs="方正仿宋简体"/>
          <w:b w:val="0"/>
          <w:bCs w:val="0"/>
          <w:color w:val="000000"/>
          <w:sz w:val="32"/>
          <w:szCs w:val="32"/>
          <w:u w:val="none"/>
          <w:lang w:val="en-US" w:eastAsia="zh-CN"/>
        </w:rPr>
        <w:t>（图4：财政拨款收、支决算总计变动情况）</w:t>
      </w:r>
    </w:p>
    <w:p w14:paraId="6201A8E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44" w:name="_Toc15396607"/>
      <w:bookmarkStart w:id="45" w:name="_Toc4973"/>
      <w:bookmarkStart w:id="46" w:name="_Toc31330"/>
      <w:bookmarkStart w:id="47" w:name="_Toc15377209"/>
      <w:r>
        <w:rPr>
          <w:rFonts w:hint="eastAsia" w:ascii="宋体" w:hAnsi="宋体" w:eastAsia="方正黑体简体" w:cs="方正黑体简体"/>
          <w:b w:val="0"/>
          <w:color w:val="auto"/>
          <w:highlight w:val="none"/>
          <w:lang w:val="en-US" w:eastAsia="zh-CN"/>
        </w:rPr>
        <w:t>五、一般公共预算财政拨款支出决算情况说明</w:t>
      </w:r>
      <w:bookmarkEnd w:id="44"/>
      <w:bookmarkEnd w:id="45"/>
      <w:bookmarkEnd w:id="46"/>
      <w:bookmarkEnd w:id="47"/>
    </w:p>
    <w:p w14:paraId="1DA420C2">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8" w:name="_Toc15377210"/>
      <w:r>
        <w:rPr>
          <w:rFonts w:hint="eastAsia" w:ascii="宋体" w:hAnsi="宋体" w:eastAsia="方正楷体简体" w:cs="方正楷体简体"/>
          <w:b/>
          <w:color w:val="auto"/>
          <w:sz w:val="32"/>
          <w:szCs w:val="32"/>
          <w:highlight w:val="none"/>
        </w:rPr>
        <w:t>（一）一般公共预算财政拨款支出决算总体情况</w:t>
      </w:r>
      <w:bookmarkEnd w:id="48"/>
    </w:p>
    <w:p w14:paraId="1590206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2024年度一般公共预算财政拨款支出3100.75万元，占本年支出合计的92.56%。与2023年度相比，一般公共预算财政拨款支出增加55.44万元，增长1.82%。主要变动原因是正常增人增资。</w:t>
      </w:r>
    </w:p>
    <w:p w14:paraId="69A574C4">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7456" behindDoc="0" locked="0" layoutInCell="1" allowOverlap="1">
            <wp:simplePos x="0" y="0"/>
            <wp:positionH relativeFrom="column">
              <wp:posOffset>683895</wp:posOffset>
            </wp:positionH>
            <wp:positionV relativeFrom="page">
              <wp:posOffset>6871335</wp:posOffset>
            </wp:positionV>
            <wp:extent cx="4179570" cy="2198370"/>
            <wp:effectExtent l="4445" t="4445" r="6985" b="698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宋体" w:hAnsi="宋体" w:eastAsia="方正仿宋简体" w:cs="方正仿宋简体"/>
          <w:b w:val="0"/>
          <w:bCs w:val="0"/>
          <w:color w:val="000000"/>
          <w:sz w:val="32"/>
          <w:szCs w:val="32"/>
          <w:u w:val="none"/>
          <w:lang w:val="en-US" w:eastAsia="zh-CN"/>
        </w:rPr>
        <w:t>（图5：一般公共预算财政拨款支出决算变动情况）</w:t>
      </w:r>
    </w:p>
    <w:p w14:paraId="6A22C120">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49" w:name="_Toc15377211"/>
      <w:r>
        <w:rPr>
          <w:rFonts w:hint="eastAsia" w:ascii="宋体" w:hAnsi="宋体" w:eastAsia="方正楷体简体" w:cs="方正楷体简体"/>
          <w:b/>
          <w:color w:val="auto"/>
          <w:sz w:val="32"/>
          <w:szCs w:val="32"/>
          <w:highlight w:val="none"/>
        </w:rPr>
        <w:t>（二）一般公共预算财政拨款支出决算结构情况</w:t>
      </w:r>
      <w:bookmarkEnd w:id="49"/>
    </w:p>
    <w:p w14:paraId="6037E8D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一般公共预算财政拨款支出3100.75万元，主要用于以下方面：一般公共服务支出2473.3万元，占79.77%；社会保障和就业支出275.49万元，占8.88%；卫生健康支出127.81万元，占4.12%；农林水支出8.68万元，占0.28%；住房保障支出215.47万元，占6.95%。</w:t>
      </w:r>
    </w:p>
    <w:p w14:paraId="2D2DCF5F">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5408" behindDoc="0" locked="0" layoutInCell="1" allowOverlap="1">
            <wp:simplePos x="0" y="0"/>
            <wp:positionH relativeFrom="column">
              <wp:posOffset>687070</wp:posOffset>
            </wp:positionH>
            <wp:positionV relativeFrom="page">
              <wp:posOffset>3773805</wp:posOffset>
            </wp:positionV>
            <wp:extent cx="4319905" cy="2339975"/>
            <wp:effectExtent l="4445" t="4445" r="6350" b="508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宋体" w:hAnsi="宋体" w:eastAsia="方正仿宋简体" w:cs="方正仿宋简体"/>
          <w:b w:val="0"/>
          <w:bCs w:val="0"/>
          <w:color w:val="000000"/>
          <w:sz w:val="32"/>
          <w:szCs w:val="32"/>
          <w:u w:val="none"/>
          <w:lang w:val="en-US" w:eastAsia="zh-CN"/>
        </w:rPr>
        <w:t>（图6：一般公共预算财政拨款支出决算结构）</w:t>
      </w:r>
    </w:p>
    <w:p w14:paraId="123D2250">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50" w:name="_Toc15377212"/>
      <w:r>
        <w:rPr>
          <w:rFonts w:hint="eastAsia" w:ascii="宋体" w:hAnsi="宋体" w:eastAsia="方正楷体简体" w:cs="方正楷体简体"/>
          <w:b/>
          <w:color w:val="auto"/>
          <w:sz w:val="32"/>
          <w:szCs w:val="32"/>
          <w:highlight w:val="none"/>
        </w:rPr>
        <w:t>（三）一般公共预算财政拨款支出决算具体情况</w:t>
      </w:r>
      <w:bookmarkEnd w:id="50"/>
    </w:p>
    <w:p w14:paraId="5802512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bookmarkStart w:id="51" w:name="_Toc15378460"/>
      <w:bookmarkStart w:id="52" w:name="_Toc15377444"/>
      <w:bookmarkStart w:id="53" w:name="_Toc15377213"/>
      <w:r>
        <w:rPr>
          <w:rFonts w:hint="eastAsia" w:ascii="宋体" w:hAnsi="宋体" w:eastAsia="方正仿宋简体" w:cs="方正仿宋简体"/>
          <w:b w:val="0"/>
          <w:bCs w:val="0"/>
          <w:color w:val="000000"/>
          <w:sz w:val="32"/>
          <w:szCs w:val="32"/>
          <w:u w:val="none"/>
          <w:lang w:val="en-US" w:eastAsia="zh-CN"/>
        </w:rPr>
        <w:t>2024年度一般公共预算财政拨款支出决算数为3100.75万元，完成预算100%。其中：</w:t>
      </w:r>
      <w:bookmarkEnd w:id="51"/>
      <w:bookmarkEnd w:id="52"/>
      <w:bookmarkEnd w:id="53"/>
    </w:p>
    <w:p w14:paraId="4AD6BDD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1.一般公共服务支出（类）纪检监察事务（款）行政运行（项）：支出决算为2113.95万元，完成预算100%。</w:t>
      </w:r>
    </w:p>
    <w:p w14:paraId="0F3A092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default"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2.一般公共服务支出（类）纪检监察事务（款）一般行政管理事务（项）：支出决算为221.32万元，完成预算100%。</w:t>
      </w:r>
    </w:p>
    <w:p w14:paraId="4A8A123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3.一般公共服务支出（类）纪检监察事务（款）事业运行（项）：支出决算为111.03万元，完成预算100%。</w:t>
      </w:r>
    </w:p>
    <w:p w14:paraId="430CBFF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default"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4.一般公共服务支出（类）纪检监察事务（款）其他纪检监察事务支出（项）：支出决算为27万元，完成预算100%。</w:t>
      </w:r>
    </w:p>
    <w:p w14:paraId="084290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5.社会保障和就业支出（类）行政事业单位养老支出（款）行政单位离退休（项）：支出决算为15万元，完成预算100%。</w:t>
      </w:r>
    </w:p>
    <w:p w14:paraId="2B2E2DC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6.社会保障和就业支出（类）行政事业单位养老支出（款）机关事业单位基本养老保险缴费支出（项）：支出决算为254.08万元，完成预算100%。</w:t>
      </w:r>
    </w:p>
    <w:p w14:paraId="33AC9DC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7.社会保障和就业支出（类）行政事业单位养老支出（款）机关事业单位职业年金缴费支出（项）：支出决算为1.33万元，完成预算100%。</w:t>
      </w:r>
    </w:p>
    <w:p w14:paraId="638632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8.社会保障和就业支出（类）行政事业单位养老支出（款）其他行政事业单位养老支出（项）：支出决算为5.08万元，完成预算100%。</w:t>
      </w:r>
    </w:p>
    <w:p w14:paraId="0E1983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9.卫生健康支出（类）行政事业单位医疗（款）行政单位医疗（项）：支出决算为111万元，完成预算100%。</w:t>
      </w:r>
    </w:p>
    <w:p w14:paraId="0A267F5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10.卫生健康支出（类）行政事业单位医疗（款）事业单位医疗（项）：支出决算为8.17万元，完成预算100%。</w:t>
      </w:r>
    </w:p>
    <w:p w14:paraId="44BE409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11.卫生健康支出（类）行政事业单位医疗（款）公务员医疗补助（项）：支出决算为8.64万元，完成预算100%。</w:t>
      </w:r>
    </w:p>
    <w:p w14:paraId="20E2C62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12.农林水支出（类）巩固脱贫攻坚成果衔接乡村振兴（款）其他巩固脱贫攻坚成果衔接乡村振兴支出（项）：支出决算为8.68万元，完成预算100%。</w:t>
      </w:r>
    </w:p>
    <w:p w14:paraId="4CBD8F9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13.住房保障支出（类）住房改革支出（款）住房公积金（项）：支出决算为215.47万元，完成预算100%。</w:t>
      </w:r>
    </w:p>
    <w:p w14:paraId="0054C4C4">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rPr>
      </w:pPr>
      <w:bookmarkStart w:id="54" w:name="_Toc29475"/>
      <w:bookmarkStart w:id="55" w:name="_Toc15377214"/>
      <w:bookmarkStart w:id="56" w:name="_Toc27885"/>
      <w:bookmarkStart w:id="57" w:name="_Toc15396608"/>
      <w:r>
        <w:rPr>
          <w:rFonts w:hint="eastAsia" w:ascii="宋体" w:hAnsi="宋体" w:eastAsia="方正黑体简体" w:cs="方正黑体简体"/>
          <w:b w:val="0"/>
          <w:color w:val="auto"/>
          <w:highlight w:val="none"/>
          <w:lang w:val="en-US" w:eastAsia="zh-CN"/>
        </w:rPr>
        <w:t>六、一般公共预算财政拨款基本支出决算情况说明</w:t>
      </w:r>
      <w:bookmarkEnd w:id="54"/>
      <w:bookmarkEnd w:id="55"/>
      <w:bookmarkEnd w:id="56"/>
      <w:bookmarkEnd w:id="57"/>
      <w:r>
        <w:rPr>
          <w:rFonts w:hint="eastAsia" w:ascii="宋体" w:hAnsi="宋体" w:eastAsia="方正黑体简体" w:cs="方正黑体简体"/>
          <w:b w:val="0"/>
          <w:color w:val="auto"/>
          <w:highlight w:val="none"/>
        </w:rPr>
        <w:tab/>
      </w:r>
    </w:p>
    <w:p w14:paraId="2D8661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2024年度一般公共预算财政拨款基本支出2843.76万元，其中：</w:t>
      </w:r>
    </w:p>
    <w:p w14:paraId="4499BB4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人员经费2464.63万元，主要包括：基本工资、津贴补贴、奖金、绩效工资、机关事业单位基本养老保险缴费、职业年金缴费、职工基本医疗保险缴费、公务员医疗补助缴费、其他社会保障缴费、住房公积金、生活补助、奖励金、其他对个人和家庭的补助支出。</w:t>
      </w:r>
      <w:r>
        <w:rPr>
          <w:rFonts w:hint="eastAsia" w:ascii="宋体" w:hAnsi="宋体" w:eastAsia="方正仿宋简体" w:cs="方正仿宋简体"/>
          <w:b w:val="0"/>
          <w:bCs w:val="0"/>
          <w:color w:val="000000"/>
          <w:sz w:val="32"/>
          <w:szCs w:val="32"/>
          <w:u w:val="none"/>
          <w:lang w:val="en-US" w:eastAsia="zh-CN"/>
        </w:rPr>
        <w:br w:type="textWrapping"/>
      </w:r>
      <w:r>
        <w:rPr>
          <w:rFonts w:hint="eastAsia" w:ascii="宋体" w:hAnsi="宋体" w:eastAsia="方正仿宋简体" w:cs="方正仿宋简体"/>
          <w:b w:val="0"/>
          <w:bCs w:val="0"/>
          <w:color w:val="000000"/>
          <w:sz w:val="32"/>
          <w:szCs w:val="32"/>
          <w:u w:val="none"/>
          <w:lang w:val="en-US" w:eastAsia="zh-CN"/>
        </w:rPr>
        <w:t>　　公用经费379.13万元，主要包括：办公费、印刷费、水费、电费、邮电费、差旅费、维修（护）费、租赁费、会议费、培训费、公务接待费、劳务费、工会经费、福利费、公务用车运行维护费、其他交通费、其他商品和服务支出。</w:t>
      </w:r>
    </w:p>
    <w:p w14:paraId="33061F29">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58" w:name="_Toc13702"/>
      <w:bookmarkStart w:id="59" w:name="_Toc15396609"/>
      <w:bookmarkStart w:id="60" w:name="_Toc18496"/>
      <w:bookmarkStart w:id="61" w:name="_Toc15377215"/>
      <w:r>
        <w:rPr>
          <w:rFonts w:hint="eastAsia" w:ascii="宋体" w:hAnsi="宋体" w:eastAsia="方正黑体简体" w:cs="方正黑体简体"/>
          <w:b w:val="0"/>
          <w:color w:val="auto"/>
          <w:highlight w:val="none"/>
          <w:lang w:val="en-US" w:eastAsia="zh-CN"/>
        </w:rPr>
        <w:t>七、财政拨款“三公”经费支出决算情况说明</w:t>
      </w:r>
      <w:bookmarkEnd w:id="58"/>
      <w:bookmarkEnd w:id="59"/>
      <w:bookmarkEnd w:id="60"/>
      <w:bookmarkEnd w:id="61"/>
    </w:p>
    <w:p w14:paraId="45192AB3">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62" w:name="_Toc15377216"/>
      <w:r>
        <w:rPr>
          <w:rFonts w:hint="eastAsia" w:ascii="宋体" w:hAnsi="宋体" w:eastAsia="方正楷体简体" w:cs="方正楷体简体"/>
          <w:b/>
          <w:color w:val="auto"/>
          <w:sz w:val="32"/>
          <w:szCs w:val="32"/>
          <w:highlight w:val="none"/>
        </w:rPr>
        <w:t>（一）“三公”经费财政拨款支出决算总体情况说明</w:t>
      </w:r>
      <w:bookmarkEnd w:id="62"/>
    </w:p>
    <w:p w14:paraId="614FF76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2024年度“三公”经费财政拨款支出决算为35.77万元，完成预算100%，较上年度减少1.85万元，下降4.92%。</w:t>
      </w:r>
    </w:p>
    <w:p w14:paraId="44945903">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63" w:name="_Toc15377217"/>
      <w:r>
        <w:rPr>
          <w:rFonts w:hint="eastAsia" w:ascii="宋体" w:hAnsi="宋体" w:eastAsia="方正楷体简体" w:cs="方正楷体简体"/>
          <w:b/>
          <w:color w:val="auto"/>
          <w:sz w:val="32"/>
          <w:szCs w:val="32"/>
          <w:highlight w:val="none"/>
        </w:rPr>
        <w:t>（二）“三公”经费财政拨款支出决算具体情况说明</w:t>
      </w:r>
      <w:bookmarkEnd w:id="63"/>
    </w:p>
    <w:p w14:paraId="5F1A82B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2024年度“三公”经费财政拨款支出决算中，公务用车购置及运行维护费支出决算34.79万元，占97.26%；公务接待费支出决算0.98万元，占2.74%。具体情况如下：</w:t>
      </w:r>
    </w:p>
    <w:p w14:paraId="052B0D92">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drawing>
          <wp:anchor distT="0" distB="0" distL="114300" distR="114300" simplePos="0" relativeHeight="251666432" behindDoc="0" locked="0" layoutInCell="1" allowOverlap="1">
            <wp:simplePos x="0" y="0"/>
            <wp:positionH relativeFrom="column">
              <wp:posOffset>687705</wp:posOffset>
            </wp:positionH>
            <wp:positionV relativeFrom="page">
              <wp:posOffset>1834515</wp:posOffset>
            </wp:positionV>
            <wp:extent cx="4319905" cy="2339975"/>
            <wp:effectExtent l="4445" t="4445" r="6350" b="508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宋体" w:hAnsi="宋体" w:eastAsia="方正仿宋简体" w:cs="方正仿宋简体"/>
          <w:b w:val="0"/>
          <w:bCs w:val="0"/>
          <w:color w:val="000000"/>
          <w:sz w:val="32"/>
          <w:szCs w:val="32"/>
          <w:u w:val="none"/>
          <w:lang w:val="en-US" w:eastAsia="zh-CN"/>
        </w:rPr>
        <w:t>（图7：“三公”经费财政拨款支出结构）</w:t>
      </w:r>
    </w:p>
    <w:p w14:paraId="141F7CF2">
      <w:pPr>
        <w:pageBreakBefore w:val="0"/>
        <w:widowControl w:val="0"/>
        <w:kinsoku/>
        <w:wordWrap/>
        <w:overflowPunct/>
        <w:topLinePunct w:val="0"/>
        <w:autoSpaceDE/>
        <w:autoSpaceDN/>
        <w:bidi w:val="0"/>
        <w:adjustRightInd/>
        <w:snapToGrid/>
        <w:spacing w:line="580" w:lineRule="exact"/>
        <w:ind w:firstLine="640"/>
        <w:textAlignment w:val="auto"/>
        <w:rPr>
          <w:rFonts w:hint="default" w:ascii="宋体" w:hAnsi="宋体" w:eastAsia="仿宋_GB2312" w:cs="仿宋_GB2312"/>
          <w:color w:val="auto"/>
          <w:kern w:val="2"/>
          <w:sz w:val="32"/>
          <w:szCs w:val="32"/>
          <w:highlight w:val="none"/>
          <w:lang w:val="en-US" w:eastAsia="zh-CN" w:bidi="ar-SA"/>
        </w:rPr>
      </w:pPr>
      <w:r>
        <w:rPr>
          <w:rFonts w:hint="eastAsia" w:ascii="宋体" w:hAnsi="宋体" w:eastAsia="方正仿宋简体" w:cs="方正仿宋简体"/>
          <w:b/>
          <w:bCs/>
          <w:color w:val="000000"/>
          <w:sz w:val="32"/>
          <w:szCs w:val="32"/>
          <w:u w:val="none"/>
          <w:lang w:val="en-US" w:eastAsia="zh-CN"/>
        </w:rPr>
        <w:t>1.公务用车购置及运行维护费支出34.79万元，完成预算100%。</w:t>
      </w:r>
      <w:r>
        <w:rPr>
          <w:rFonts w:hint="eastAsia" w:ascii="宋体" w:hAnsi="宋体" w:eastAsia="方正仿宋简体" w:cs="方正仿宋简体"/>
          <w:b w:val="0"/>
          <w:bCs w:val="0"/>
          <w:color w:val="000000"/>
          <w:sz w:val="32"/>
          <w:szCs w:val="32"/>
          <w:u w:val="none"/>
          <w:lang w:val="en-US" w:eastAsia="zh-CN"/>
        </w:rPr>
        <w:t>公务用车购置及运行维护费支出决算比2023年度减少0.08万元，下降0.23%。主要原因是合理安排用车动线，减少公务用车维修。</w:t>
      </w:r>
    </w:p>
    <w:p w14:paraId="7CF7B5A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公务用车运行维护费支出34.79万元。主要用于公务用车燃料费、维修费、过路过桥费、保险费等支出。</w:t>
      </w:r>
    </w:p>
    <w:p w14:paraId="77D29F9B">
      <w:pPr>
        <w:pageBreakBefore w:val="0"/>
        <w:widowControl w:val="0"/>
        <w:kinsoku/>
        <w:wordWrap/>
        <w:overflowPunct/>
        <w:topLinePunct w:val="0"/>
        <w:autoSpaceDE/>
        <w:autoSpaceDN/>
        <w:bidi w:val="0"/>
        <w:adjustRightInd/>
        <w:snapToGrid/>
        <w:spacing w:line="580" w:lineRule="exact"/>
        <w:ind w:firstLine="640"/>
        <w:textAlignment w:val="auto"/>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bCs/>
          <w:color w:val="000000"/>
          <w:sz w:val="32"/>
          <w:szCs w:val="32"/>
          <w:u w:val="none"/>
          <w:lang w:val="en-US" w:eastAsia="zh-CN"/>
        </w:rPr>
        <w:t>2.公务接待费支出0.98万元，完成预算100%。</w:t>
      </w:r>
      <w:r>
        <w:rPr>
          <w:rFonts w:hint="eastAsia" w:ascii="宋体" w:hAnsi="宋体" w:eastAsia="方正仿宋简体" w:cs="方正仿宋简体"/>
          <w:b w:val="0"/>
          <w:bCs w:val="0"/>
          <w:color w:val="000000"/>
          <w:sz w:val="32"/>
          <w:szCs w:val="32"/>
          <w:u w:val="none"/>
          <w:lang w:val="en-US" w:eastAsia="zh-CN"/>
        </w:rPr>
        <w:t>公务接待费支出决算比2023年度减少1.77万元，下降64.36%。主要原因是坚持厉行节约，反对铺张浪费，从2024年6月搬迁至独立办公区以来，我单位严格执行扫码用餐制度，相应降低和减少了公务接待费标准和次数，公务接待费减少。其中：</w:t>
      </w:r>
    </w:p>
    <w:p w14:paraId="0D08716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国内公务接待支出0.98万元，主要用于执行公务、开展业务活动开支的用餐费等。国内公务接待11批次，112人次，共计支出0.98万元，具体内容包括：接待资阳市纪委开展谈心谈话等工作770元；接待资阳市纪委监委开展谈心谈话等工作560元；接待蓬溪县纪委开展干部考察工作560元；接待省委巡视办、市纪委监委、市委巡察办开展集中整治专项调研2730元；接待省委巡视办、市委巡察办、雁江区委巡察办、乐至县委巡察办开展对村巡察调研1230元；接待资阳市纪委监委开展问题线索处置工作560元；接待资阳市纪委监委开展魏斌等人严重违纪违法案件处分决定宣布暨警示教育大会1210元；接待四川省纪委监委宣传部开展安岳县房管局原副局长肖雍品违纪违法案拍摄工作640元；接待资阳市纪委监委开展问题线索办理工作560元；接待资阳市纪委监委开展问题线索调查、调取证据工作480元；接待四川省纪委监委驻审计厅纪检组协助办案480元。</w:t>
      </w:r>
    </w:p>
    <w:p w14:paraId="641D13D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64" w:name="_Toc15396610"/>
      <w:bookmarkStart w:id="65" w:name="_Toc15377218"/>
      <w:bookmarkStart w:id="66" w:name="_Toc7993"/>
      <w:bookmarkStart w:id="67" w:name="_Toc10970"/>
      <w:r>
        <w:rPr>
          <w:rFonts w:hint="eastAsia" w:ascii="宋体" w:hAnsi="宋体" w:eastAsia="方正黑体简体" w:cs="方正黑体简体"/>
          <w:b w:val="0"/>
          <w:color w:val="auto"/>
          <w:highlight w:val="none"/>
          <w:lang w:val="en-US" w:eastAsia="zh-CN"/>
        </w:rPr>
        <w:t>八、政府性基金预算支出决算情况说明</w:t>
      </w:r>
      <w:bookmarkEnd w:id="64"/>
      <w:bookmarkEnd w:id="65"/>
      <w:bookmarkEnd w:id="66"/>
      <w:bookmarkEnd w:id="67"/>
    </w:p>
    <w:p w14:paraId="47C17EC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2024年度政府性基金预算财政拨款支出246.77万元，占本年支出合计的7.37%。与2023年度相比，政府性基金预算财政拨款支出增加218.6万元，增长776%。主要变动原因是办理大案要案数量增加，导致项目支出增加。</w:t>
      </w:r>
    </w:p>
    <w:p w14:paraId="2FC7CF0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68" w:name="_Toc15396611"/>
      <w:bookmarkStart w:id="69" w:name="_Toc24876"/>
      <w:bookmarkStart w:id="70" w:name="_Toc15377219"/>
      <w:bookmarkStart w:id="71" w:name="_Toc27415"/>
      <w:r>
        <w:rPr>
          <w:rFonts w:hint="eastAsia" w:ascii="宋体" w:hAnsi="宋体" w:eastAsia="方正黑体简体" w:cs="方正黑体简体"/>
          <w:b w:val="0"/>
          <w:color w:val="auto"/>
          <w:highlight w:val="none"/>
          <w:lang w:val="en-US" w:eastAsia="zh-CN"/>
        </w:rPr>
        <w:t>九、国有资本经营预算支出决算情况说明</w:t>
      </w:r>
      <w:bookmarkEnd w:id="68"/>
      <w:bookmarkEnd w:id="69"/>
      <w:bookmarkEnd w:id="70"/>
      <w:bookmarkEnd w:id="71"/>
    </w:p>
    <w:p w14:paraId="103E181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无</w:t>
      </w:r>
    </w:p>
    <w:p w14:paraId="427AA528">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72" w:name="_Toc15396612"/>
      <w:bookmarkStart w:id="73" w:name="_Toc15377221"/>
      <w:bookmarkStart w:id="74" w:name="_Toc22534"/>
      <w:bookmarkStart w:id="75" w:name="_Toc12876"/>
      <w:r>
        <w:rPr>
          <w:rFonts w:hint="eastAsia" w:ascii="宋体" w:hAnsi="宋体" w:eastAsia="方正黑体简体" w:cs="方正黑体简体"/>
          <w:b w:val="0"/>
          <w:color w:val="auto"/>
          <w:highlight w:val="none"/>
          <w:lang w:val="en-US" w:eastAsia="zh-CN"/>
        </w:rPr>
        <w:t>十、其他重要事项的情况说明</w:t>
      </w:r>
      <w:bookmarkEnd w:id="72"/>
      <w:bookmarkEnd w:id="73"/>
      <w:bookmarkEnd w:id="74"/>
      <w:bookmarkEnd w:id="75"/>
    </w:p>
    <w:p w14:paraId="20BC90A9">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76" w:name="_Toc15377222"/>
      <w:r>
        <w:rPr>
          <w:rFonts w:hint="eastAsia" w:ascii="宋体" w:hAnsi="宋体" w:eastAsia="方正楷体简体" w:cs="方正楷体简体"/>
          <w:b/>
          <w:color w:val="auto"/>
          <w:sz w:val="32"/>
          <w:szCs w:val="32"/>
          <w:highlight w:val="none"/>
        </w:rPr>
        <w:t>（一）机关运行经费支出情况</w:t>
      </w:r>
      <w:bookmarkEnd w:id="76"/>
    </w:p>
    <w:p w14:paraId="345B536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2024年度，中国共产党安岳县纪律检查委员会机关运行经费支出379.13万元，比2023年度减少67.1万元，下降15.04%。主要原因是坚持厉行节约，合理压减公用经费。</w:t>
      </w:r>
    </w:p>
    <w:p w14:paraId="1EB3CACA">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77" w:name="_Toc15377223"/>
      <w:r>
        <w:rPr>
          <w:rFonts w:hint="eastAsia" w:ascii="宋体" w:hAnsi="宋体" w:eastAsia="方正楷体简体" w:cs="方正楷体简体"/>
          <w:b/>
          <w:color w:val="auto"/>
          <w:sz w:val="32"/>
          <w:szCs w:val="32"/>
          <w:highlight w:val="none"/>
        </w:rPr>
        <w:t>（二）政府采购支出情况</w:t>
      </w:r>
      <w:bookmarkEnd w:id="77"/>
    </w:p>
    <w:p w14:paraId="0EAD884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2024年度，中国共产党安岳县纪律检查委员会政府采购支出总额12.23万元，其中：政府采购货物支出12.23万元。主要用于采购空调9 台、办案设备1批（含空调机5台；多功能一体机1台；碎纸机18台；扫描仪1台；便携式计算机6台）。</w:t>
      </w:r>
    </w:p>
    <w:p w14:paraId="53A08F52">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bookmarkStart w:id="78" w:name="_Toc15377224"/>
      <w:r>
        <w:rPr>
          <w:rFonts w:hint="eastAsia" w:ascii="宋体" w:hAnsi="宋体" w:eastAsia="方正楷体简体" w:cs="方正楷体简体"/>
          <w:b/>
          <w:color w:val="auto"/>
          <w:sz w:val="32"/>
          <w:szCs w:val="32"/>
          <w:highlight w:val="none"/>
        </w:rPr>
        <w:t>（三）国有资产占有使用情况</w:t>
      </w:r>
      <w:bookmarkEnd w:id="78"/>
    </w:p>
    <w:p w14:paraId="1E3E944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截至2024年12月31日，中国共产党安岳县纪律检查委员会共有车辆7辆，其中：执法执勤用车5辆、特种专业技术用车2辆。无单价100万元（含）以上设备（不含车辆）。</w:t>
      </w:r>
    </w:p>
    <w:p w14:paraId="74821C19">
      <w:pPr>
        <w:pageBreakBefore w:val="0"/>
        <w:widowControl w:val="0"/>
        <w:kinsoku/>
        <w:wordWrap/>
        <w:overflowPunct/>
        <w:topLinePunct w:val="0"/>
        <w:autoSpaceDE/>
        <w:autoSpaceDN/>
        <w:bidi w:val="0"/>
        <w:adjustRightInd/>
        <w:snapToGrid/>
        <w:spacing w:line="580" w:lineRule="exact"/>
        <w:ind w:firstLine="643" w:firstLineChars="200"/>
        <w:textAlignment w:val="auto"/>
        <w:outlineLvl w:val="2"/>
        <w:rPr>
          <w:rFonts w:hint="eastAsia" w:ascii="宋体" w:hAnsi="宋体" w:eastAsia="方正楷体简体" w:cs="方正楷体简体"/>
          <w:b/>
          <w:color w:val="auto"/>
          <w:sz w:val="32"/>
          <w:szCs w:val="32"/>
          <w:highlight w:val="none"/>
        </w:rPr>
      </w:pPr>
      <w:r>
        <w:rPr>
          <w:rFonts w:hint="eastAsia" w:ascii="宋体" w:hAnsi="宋体" w:eastAsia="方正楷体简体" w:cs="方正楷体简体"/>
          <w:b/>
          <w:color w:val="auto"/>
          <w:sz w:val="32"/>
          <w:szCs w:val="32"/>
          <w:highlight w:val="none"/>
        </w:rPr>
        <w:t>（四）预算绩效管理情况</w:t>
      </w:r>
    </w:p>
    <w:p w14:paraId="090A648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根据预算绩效管理要求，中国共产党安岳县纪律检查委员会在2024年度预算编制阶段，组织对纪委办案专项经费、党风廉政建设宣教及专项监督检查经费等4个项目开展了预算事前绩效评估，对4个项目编制了绩效目标，预算执行过程中，4个项目均开展绩效监控。</w:t>
      </w:r>
    </w:p>
    <w:p w14:paraId="63F6C40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组织对2024年度一般公共预算、政府性基金预算等全面开展绩效自评，形成部门整体绩效自评报告，并对纪委办案专项经费、党风廉政建设宣教及专项监督检查经费等4个专项预算项目进行绩效自评。部门预算项目支出绩效自评表详见附件。</w:t>
      </w:r>
      <w:bookmarkStart w:id="79" w:name="_Toc18802"/>
      <w:bookmarkStart w:id="80" w:name="_Toc19249"/>
      <w:bookmarkStart w:id="81" w:name="_Toc15377225"/>
      <w:bookmarkStart w:id="82" w:name="_Toc15396613"/>
    </w:p>
    <w:p w14:paraId="1CF5977A">
      <w:pPr>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br w:type="page"/>
      </w:r>
    </w:p>
    <w:p w14:paraId="551AF802">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方正小标宋简体" w:cs="方正小标宋简体"/>
          <w:b w:val="0"/>
          <w:bCs/>
          <w:color w:val="auto"/>
          <w:kern w:val="44"/>
          <w:sz w:val="44"/>
          <w:szCs w:val="44"/>
          <w:lang w:val="en-US" w:eastAsia="zh-CN" w:bidi="ar-SA"/>
        </w:rPr>
        <w:t>第三部分  名词解释</w:t>
      </w:r>
      <w:bookmarkEnd w:id="79"/>
      <w:bookmarkEnd w:id="80"/>
      <w:bookmarkEnd w:id="81"/>
      <w:bookmarkEnd w:id="82"/>
    </w:p>
    <w:p w14:paraId="39ED9F2E">
      <w:pPr>
        <w:pStyle w:val="2"/>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lang w:val="en-US" w:eastAsia="zh-CN"/>
        </w:rPr>
      </w:pPr>
    </w:p>
    <w:p w14:paraId="513D785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1.财政拨款收入：指单位从同级财政部门取得的财政预算资金。</w:t>
      </w:r>
    </w:p>
    <w:p w14:paraId="38EE953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 xml:space="preserve">2.其他收入：指单位取得的除上述收入以外的各项收入。主要是安岳县机关事务局转来的公务用车运行维护费、市环保局转来第三轮中央生态环保督察经费等。 </w:t>
      </w:r>
    </w:p>
    <w:p w14:paraId="6A291F3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 xml:space="preserve">3.使用非财政拨款结余（含专用结余）：指事业单位使用以前年度积累的非财政拨款结余弥补当年收支差额的金额。 </w:t>
      </w:r>
    </w:p>
    <w:p w14:paraId="1C6813C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 xml:space="preserve">4.年初结转和结余：指以前年度尚未完成、结转到本年按有关规定继续使用的资金。 </w:t>
      </w:r>
    </w:p>
    <w:p w14:paraId="56C243A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5.结余分配：指事业单位按照会计制度规定缴纳的所得税、提取的专用结余以及转入非财政拨款结余的金额等。</w:t>
      </w:r>
    </w:p>
    <w:p w14:paraId="13D006C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6.年末结转和结余：指单位按有关规定结转到下年或以后年度继续使用的资金。</w:t>
      </w:r>
    </w:p>
    <w:p w14:paraId="30E6A0B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bookmarkStart w:id="83" w:name="_Toc15377226"/>
      <w:r>
        <w:rPr>
          <w:rFonts w:hint="eastAsia" w:ascii="宋体" w:hAnsi="宋体" w:eastAsia="方正仿宋简体" w:cs="方正仿宋简体"/>
          <w:b w:val="0"/>
          <w:bCs w:val="0"/>
          <w:color w:val="000000"/>
          <w:sz w:val="32"/>
          <w:szCs w:val="32"/>
          <w:u w:val="none"/>
          <w:lang w:val="en-US" w:eastAsia="zh-CN"/>
        </w:rPr>
        <w:t>7.一般公共服务支出（类）纪检监察事务（款）行政运行（项）指委机关正常运转的基本支出，包括基本工资、津贴补贴等人员经费以及办公费、印刷费、水电费等日常公用经费。</w:t>
      </w:r>
    </w:p>
    <w:p w14:paraId="622A15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8.一般公共服务支出（类）政府办公厅（室）及相关机构事务（款）行政运行（项）:指乡镇政府调入人员相关经费。</w:t>
      </w:r>
    </w:p>
    <w:p w14:paraId="739F155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9.一般公共服务支出（类）纪检监察事务（款）一般行政管理事务（项）: 指委机关及下属事业单位开展纪检监察综合业务的项目支出。</w:t>
      </w:r>
    </w:p>
    <w:p w14:paraId="52720B6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10.一般公共服务支出（类）纪检监察事务（款）事业运行（项）:指委机关及下属事业单位开展纪检监察综合业务等未单独设置项级科目的其他纪检监察事务的项目支出。</w:t>
      </w:r>
    </w:p>
    <w:p w14:paraId="765FF3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11.社会保障和就业支出（类）行政事业单位养老支出（款）行政单位离退休（项）指委机关及下属事业单位除上述项目以外其他用于行政事业单位养老方面的支出。</w:t>
      </w:r>
    </w:p>
    <w:p w14:paraId="30FF97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12.社会保障和就业支出（类）行政事业单位养老支出（款）机关事业单位基本养老保险缴费支出（项）指委机关及下属事业单位实施养老保险制度由单位缴纳的养老保险费的支出。</w:t>
      </w:r>
    </w:p>
    <w:p w14:paraId="0B6A2F4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13.社会保障和就业支出（类）行政事业单位养老支出（款）  机关事业单位职业年金缴费支出（项）:指委机关及下属事业单位实施养老保险制度由单位实际缴纳的职业年金支出。</w:t>
      </w:r>
    </w:p>
    <w:p w14:paraId="1B90FD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14.卫生健康支出（类）行政事业单位医疗（款）行政事业单位医疗（项）:指委机关及参公管理事业单位用于缴纳单位基本医疗保险支出。</w:t>
      </w:r>
    </w:p>
    <w:p w14:paraId="427B3F6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15.卫生健康支出（类）行政事业单位医疗（款）事业单位医疗（项）:指事业单位用于缴纳单位基本医疗保险支出。</w:t>
      </w:r>
    </w:p>
    <w:p w14:paraId="248A6A9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16.卫生健康支出（类）行政事业单位医疗（款）公务员医疗补助（项）：指委机关及参公管理事业单位用于缴纳单位公务员医疗补助支出。</w:t>
      </w:r>
    </w:p>
    <w:p w14:paraId="086A8EA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17.农林水支出（类）巩固脱贫攻坚成果衔接乡村振兴支出（款）其他巩固脱贫攻坚成果衔接乡村振兴支出（项）:指驻村队员生活补助及相关经费。</w:t>
      </w:r>
    </w:p>
    <w:p w14:paraId="0720F74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18.住房保障支出（类）住房改革支出（款）住房公积金（项）:指按照《住房公积金管理条例》的规定，由单位及其在职职工缴存的长期住房储金。</w:t>
      </w:r>
    </w:p>
    <w:p w14:paraId="13A59E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19.基本支出：指为保障机构正常运转、完成日常工作任务而发生的人员支出和公用支出。</w:t>
      </w:r>
    </w:p>
    <w:p w14:paraId="52F16F2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 xml:space="preserve">20.项目支出：指在基本支出之外为完成特定行政任务和事业发展目标所发生的支出。 </w:t>
      </w:r>
    </w:p>
    <w:p w14:paraId="7709C92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84709B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2"/>
        <w:rPr>
          <w:rFonts w:hint="eastAsia" w:ascii="宋体" w:hAnsi="宋体" w:eastAsia="方正仿宋简体" w:cs="方正仿宋简体"/>
          <w:b w:val="0"/>
          <w:bCs w:val="0"/>
          <w:color w:val="000000"/>
          <w:sz w:val="32"/>
          <w:szCs w:val="32"/>
          <w:u w:val="none"/>
          <w:lang w:val="en-US" w:eastAsia="zh-CN"/>
        </w:rPr>
      </w:pPr>
      <w:r>
        <w:rPr>
          <w:rFonts w:hint="eastAsia" w:ascii="宋体" w:hAnsi="宋体" w:eastAsia="方正仿宋简体" w:cs="方正仿宋简体"/>
          <w:b w:val="0"/>
          <w:bCs w:val="0"/>
          <w:color w:val="000000"/>
          <w:sz w:val="32"/>
          <w:szCs w:val="32"/>
          <w:u w:val="none"/>
          <w:lang w:val="en-US" w:eastAsia="zh-CN"/>
        </w:rPr>
        <w:t>22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BE7BE63">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2"/>
        <w:rPr>
          <w:rFonts w:hint="eastAsia" w:ascii="宋体" w:hAnsi="宋体" w:eastAsia="方正小标宋简体" w:cs="方正小标宋简体"/>
          <w:b w:val="0"/>
          <w:bCs/>
          <w:color w:val="auto"/>
          <w:kern w:val="44"/>
          <w:sz w:val="44"/>
          <w:szCs w:val="44"/>
          <w:lang w:val="en-US" w:eastAsia="zh-CN" w:bidi="ar-SA"/>
        </w:rPr>
      </w:pPr>
      <w:r>
        <w:rPr>
          <w:rFonts w:hint="eastAsia" w:ascii="宋体" w:hAnsi="宋体" w:eastAsia="仿宋_GB2312" w:cs="仿宋_GB2312"/>
          <w:color w:val="auto"/>
          <w:kern w:val="2"/>
          <w:sz w:val="32"/>
          <w:szCs w:val="32"/>
          <w:highlight w:val="none"/>
          <w:lang w:val="en-US" w:eastAsia="zh-CN" w:bidi="ar-SA"/>
        </w:rPr>
        <w:br w:type="page"/>
      </w:r>
      <w:bookmarkStart w:id="84" w:name="_Toc15396614"/>
      <w:bookmarkStart w:id="85" w:name="_Toc18674"/>
      <w:r>
        <w:rPr>
          <w:rFonts w:hint="eastAsia" w:ascii="宋体" w:hAnsi="宋体" w:eastAsia="方正小标宋简体" w:cs="方正小标宋简体"/>
          <w:b w:val="0"/>
          <w:bCs/>
          <w:color w:val="auto"/>
          <w:kern w:val="44"/>
          <w:sz w:val="44"/>
          <w:szCs w:val="44"/>
          <w:lang w:val="en-US" w:eastAsia="zh-CN" w:bidi="ar-SA"/>
        </w:rPr>
        <w:t>第四部分  附件</w:t>
      </w:r>
      <w:bookmarkEnd w:id="84"/>
      <w:bookmarkEnd w:id="85"/>
    </w:p>
    <w:p w14:paraId="592CE77D">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方正黑体简体" w:cs="方正黑体简体"/>
          <w:i w:val="0"/>
          <w:color w:val="000000"/>
          <w:kern w:val="0"/>
          <w:sz w:val="32"/>
          <w:szCs w:val="32"/>
          <w:u w:val="none"/>
          <w:lang w:val="en-US" w:eastAsia="zh-CN" w:bidi="ar"/>
        </w:rPr>
      </w:pPr>
      <w:r>
        <w:rPr>
          <w:rFonts w:hint="eastAsia" w:ascii="宋体" w:hAnsi="宋体" w:eastAsia="方正黑体简体" w:cs="方正黑体简体"/>
          <w:i w:val="0"/>
          <w:color w:val="000000"/>
          <w:kern w:val="0"/>
          <w:sz w:val="32"/>
          <w:szCs w:val="32"/>
          <w:u w:val="none"/>
          <w:lang w:val="en-US" w:eastAsia="zh-CN" w:bidi="ar"/>
        </w:rPr>
        <w:t>安岳县2024年度预算项目支出绩效自评表</w:t>
      </w:r>
    </w:p>
    <w:tbl>
      <w:tblPr>
        <w:tblStyle w:val="16"/>
        <w:tblW w:w="896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1088"/>
        <w:gridCol w:w="825"/>
        <w:gridCol w:w="1225"/>
        <w:gridCol w:w="412"/>
        <w:gridCol w:w="488"/>
        <w:gridCol w:w="687"/>
        <w:gridCol w:w="875"/>
        <w:gridCol w:w="500"/>
        <w:gridCol w:w="488"/>
        <w:gridCol w:w="1723"/>
      </w:tblGrid>
      <w:tr w14:paraId="097B3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23D2AA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23" w:type="dxa"/>
            <w:gridSpan w:val="9"/>
            <w:tcBorders>
              <w:top w:val="single" w:color="000000" w:sz="4" w:space="0"/>
              <w:left w:val="single" w:color="000000" w:sz="4" w:space="0"/>
              <w:bottom w:val="single" w:color="000000" w:sz="4" w:space="0"/>
              <w:right w:val="single" w:color="000000" w:sz="4" w:space="0"/>
            </w:tcBorders>
            <w:noWrap w:val="0"/>
            <w:vAlign w:val="center"/>
          </w:tcPr>
          <w:p w14:paraId="48BFB8FD">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51202122T000000247115-纪委办案专项经费</w:t>
            </w:r>
          </w:p>
        </w:tc>
      </w:tr>
      <w:tr w14:paraId="23EEC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4D00E0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5178E4F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75" w:type="dxa"/>
            <w:tcBorders>
              <w:top w:val="nil"/>
              <w:left w:val="nil"/>
              <w:bottom w:val="nil"/>
              <w:right w:val="nil"/>
            </w:tcBorders>
            <w:noWrap w:val="0"/>
            <w:vAlign w:val="center"/>
          </w:tcPr>
          <w:p w14:paraId="210E4A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711" w:type="dxa"/>
            <w:gridSpan w:val="3"/>
            <w:tcBorders>
              <w:top w:val="single" w:color="000000" w:sz="4" w:space="0"/>
              <w:left w:val="single" w:color="000000" w:sz="4" w:space="0"/>
              <w:bottom w:val="single" w:color="000000" w:sz="4" w:space="0"/>
              <w:right w:val="single" w:color="000000" w:sz="4" w:space="0"/>
            </w:tcBorders>
            <w:noWrap w:val="0"/>
            <w:vAlign w:val="center"/>
          </w:tcPr>
          <w:p w14:paraId="34F661FB">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中国共产党安岳县纪律检查委员会</w:t>
            </w:r>
          </w:p>
        </w:tc>
      </w:tr>
      <w:tr w14:paraId="4C236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14:paraId="555E9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1DBDF6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01D7E3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586" w:type="dxa"/>
            <w:gridSpan w:val="4"/>
            <w:tcBorders>
              <w:top w:val="single" w:color="000000" w:sz="4" w:space="0"/>
              <w:left w:val="single" w:color="000000" w:sz="4" w:space="0"/>
              <w:bottom w:val="single" w:color="000000" w:sz="4" w:space="0"/>
              <w:right w:val="single" w:color="000000" w:sz="4" w:space="0"/>
            </w:tcBorders>
            <w:noWrap w:val="0"/>
            <w:vAlign w:val="center"/>
          </w:tcPr>
          <w:p w14:paraId="1B75C9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0E519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9E55B">
            <w:pPr>
              <w:rPr>
                <w:rFonts w:hint="eastAsia" w:ascii="宋体" w:hAnsi="宋体" w:eastAsia="宋体" w:cs="宋体"/>
                <w:i w:val="0"/>
                <w:iCs w:val="0"/>
                <w:color w:val="000000"/>
                <w:sz w:val="21"/>
                <w:szCs w:val="21"/>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C4D75A">
            <w:pPr>
              <w:rPr>
                <w:rFonts w:hint="eastAsia" w:ascii="宋体" w:hAnsi="宋体" w:eastAsia="宋体" w:cs="宋体"/>
                <w:i w:val="0"/>
                <w:iCs w:val="0"/>
                <w:color w:val="000000"/>
                <w:sz w:val="21"/>
                <w:szCs w:val="21"/>
                <w:u w:val="none"/>
              </w:rPr>
            </w:pPr>
          </w:p>
        </w:tc>
        <w:tc>
          <w:tcPr>
            <w:tcW w:w="3637" w:type="dxa"/>
            <w:gridSpan w:val="5"/>
            <w:tcBorders>
              <w:top w:val="single" w:color="000000" w:sz="4" w:space="0"/>
              <w:left w:val="single" w:color="000000" w:sz="4" w:space="0"/>
              <w:bottom w:val="single" w:color="000000" w:sz="4" w:space="0"/>
              <w:right w:val="single" w:color="000000" w:sz="4" w:space="0"/>
            </w:tcBorders>
            <w:noWrap w:val="0"/>
            <w:vAlign w:val="center"/>
          </w:tcPr>
          <w:p w14:paraId="7356980E">
            <w:pP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sz w:val="21"/>
                <w:szCs w:val="21"/>
                <w:highlight w:val="none"/>
                <w:u w:val="none"/>
              </w:rPr>
              <w:t>通过全面从严治党，构建惩治和预防腐败体系，查办案件，抓好主责主业，落实好监督执纪问责责任，营造"干部清正、政府清廉、政治清明、社会清新"的环境。</w:t>
            </w:r>
          </w:p>
        </w:tc>
        <w:tc>
          <w:tcPr>
            <w:tcW w:w="3586" w:type="dxa"/>
            <w:gridSpan w:val="4"/>
            <w:tcBorders>
              <w:top w:val="single" w:color="000000" w:sz="4" w:space="0"/>
              <w:left w:val="single" w:color="000000" w:sz="4" w:space="0"/>
              <w:bottom w:val="single" w:color="000000" w:sz="4" w:space="0"/>
              <w:right w:val="single" w:color="000000" w:sz="4" w:space="0"/>
            </w:tcBorders>
            <w:noWrap w:val="0"/>
            <w:vAlign w:val="center"/>
          </w:tcPr>
          <w:p w14:paraId="4C31AC5D">
            <w:pPr>
              <w:keepNext w:val="0"/>
              <w:keepLines w:val="0"/>
              <w:widowControl/>
              <w:suppressLineNumbers w:val="0"/>
              <w:jc w:val="left"/>
              <w:textAlignment w:val="center"/>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sz w:val="21"/>
                <w:szCs w:val="21"/>
                <w:highlight w:val="none"/>
                <w:u w:val="none"/>
              </w:rPr>
              <w:t>通过对资金拨付和项目执行的监管，实现项目完成率100%、完成及时率100%、质量达标率100%、成本控制率100%。</w:t>
            </w:r>
          </w:p>
        </w:tc>
      </w:tr>
      <w:tr w14:paraId="355D8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9D7A9">
            <w:pP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3824A24F">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2.项目实施内容及过程概述</w:t>
            </w:r>
          </w:p>
        </w:tc>
        <w:tc>
          <w:tcPr>
            <w:tcW w:w="7223" w:type="dxa"/>
            <w:gridSpan w:val="9"/>
            <w:tcBorders>
              <w:top w:val="single" w:color="000000" w:sz="4" w:space="0"/>
              <w:left w:val="single" w:color="000000" w:sz="4" w:space="0"/>
              <w:bottom w:val="single" w:color="000000" w:sz="4" w:space="0"/>
              <w:right w:val="single" w:color="000000" w:sz="4" w:space="0"/>
            </w:tcBorders>
            <w:noWrap w:val="0"/>
            <w:vAlign w:val="center"/>
          </w:tcPr>
          <w:p w14:paraId="27B995CB">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通过人力、物力、财力的投放，紧盯重点领域，直指违纪典型问题，认真开展反腐败工作，对党内机关、党员干部和公职人员开展纪律检查和监察工作。立案</w:t>
            </w:r>
            <w:r>
              <w:rPr>
                <w:rFonts w:hint="eastAsia" w:ascii="宋体" w:hAnsi="宋体" w:eastAsia="宋体" w:cs="宋体"/>
                <w:i w:val="0"/>
                <w:iCs w:val="0"/>
                <w:color w:val="000000"/>
                <w:sz w:val="21"/>
                <w:szCs w:val="21"/>
                <w:highlight w:val="none"/>
                <w:u w:val="none"/>
                <w:lang w:val="en-US" w:eastAsia="zh-CN"/>
              </w:rPr>
              <w:t>573</w:t>
            </w:r>
            <w:r>
              <w:rPr>
                <w:rFonts w:hint="eastAsia" w:ascii="宋体" w:hAnsi="宋体" w:eastAsia="宋体" w:cs="宋体"/>
                <w:i w:val="0"/>
                <w:iCs w:val="0"/>
                <w:color w:val="000000"/>
                <w:sz w:val="21"/>
                <w:szCs w:val="21"/>
                <w:highlight w:val="none"/>
                <w:u w:val="none"/>
              </w:rPr>
              <w:t>件，处分</w:t>
            </w:r>
            <w:r>
              <w:rPr>
                <w:rFonts w:hint="eastAsia" w:ascii="宋体" w:hAnsi="宋体" w:eastAsia="宋体" w:cs="宋体"/>
                <w:i w:val="0"/>
                <w:iCs w:val="0"/>
                <w:color w:val="000000"/>
                <w:sz w:val="21"/>
                <w:szCs w:val="21"/>
                <w:highlight w:val="none"/>
                <w:u w:val="none"/>
                <w:lang w:val="en-US" w:eastAsia="zh-CN"/>
              </w:rPr>
              <w:t>587</w:t>
            </w:r>
            <w:r>
              <w:rPr>
                <w:rFonts w:hint="eastAsia" w:ascii="宋体" w:hAnsi="宋体" w:eastAsia="宋体" w:cs="宋体"/>
                <w:i w:val="0"/>
                <w:iCs w:val="0"/>
                <w:color w:val="000000"/>
                <w:sz w:val="21"/>
                <w:szCs w:val="21"/>
                <w:highlight w:val="none"/>
                <w:u w:val="none"/>
              </w:rPr>
              <w:t>人，共留置</w:t>
            </w:r>
            <w:r>
              <w:rPr>
                <w:rFonts w:hint="eastAsia" w:ascii="宋体" w:hAnsi="宋体" w:eastAsia="宋体" w:cs="宋体"/>
                <w:i w:val="0"/>
                <w:iCs w:val="0"/>
                <w:color w:val="000000"/>
                <w:sz w:val="21"/>
                <w:szCs w:val="21"/>
                <w:highlight w:val="none"/>
                <w:u w:val="none"/>
                <w:lang w:val="en-US" w:eastAsia="zh-CN"/>
              </w:rPr>
              <w:t>14</w:t>
            </w:r>
            <w:r>
              <w:rPr>
                <w:rFonts w:hint="eastAsia" w:ascii="宋体" w:hAnsi="宋体" w:eastAsia="宋体" w:cs="宋体"/>
                <w:i w:val="0"/>
                <w:iCs w:val="0"/>
                <w:color w:val="000000"/>
                <w:sz w:val="21"/>
                <w:szCs w:val="21"/>
                <w:highlight w:val="none"/>
                <w:u w:val="none"/>
              </w:rPr>
              <w:t>人，其中，立案科级干部</w:t>
            </w:r>
            <w:r>
              <w:rPr>
                <w:rFonts w:hint="eastAsia" w:ascii="宋体" w:hAnsi="宋体" w:eastAsia="宋体" w:cs="宋体"/>
                <w:i w:val="0"/>
                <w:iCs w:val="0"/>
                <w:color w:val="000000"/>
                <w:sz w:val="21"/>
                <w:szCs w:val="21"/>
                <w:highlight w:val="none"/>
                <w:u w:val="none"/>
                <w:lang w:val="en-US" w:eastAsia="zh-CN"/>
              </w:rPr>
              <w:t>50</w:t>
            </w:r>
            <w:r>
              <w:rPr>
                <w:rFonts w:hint="eastAsia" w:ascii="宋体" w:hAnsi="宋体" w:eastAsia="宋体" w:cs="宋体"/>
                <w:i w:val="0"/>
                <w:iCs w:val="0"/>
                <w:color w:val="000000"/>
                <w:sz w:val="21"/>
                <w:szCs w:val="21"/>
                <w:highlight w:val="none"/>
                <w:u w:val="none"/>
              </w:rPr>
              <w:t>件，处分科级干部</w:t>
            </w:r>
            <w:r>
              <w:rPr>
                <w:rFonts w:hint="eastAsia" w:ascii="宋体" w:hAnsi="宋体" w:eastAsia="宋体" w:cs="宋体"/>
                <w:i w:val="0"/>
                <w:iCs w:val="0"/>
                <w:color w:val="000000"/>
                <w:sz w:val="21"/>
                <w:szCs w:val="21"/>
                <w:highlight w:val="none"/>
                <w:u w:val="none"/>
                <w:lang w:val="en-US" w:eastAsia="zh-CN"/>
              </w:rPr>
              <w:t>60</w:t>
            </w:r>
            <w:r>
              <w:rPr>
                <w:rFonts w:hint="eastAsia" w:ascii="宋体" w:hAnsi="宋体" w:eastAsia="宋体" w:cs="宋体"/>
                <w:i w:val="0"/>
                <w:iCs w:val="0"/>
                <w:color w:val="000000"/>
                <w:sz w:val="21"/>
                <w:szCs w:val="21"/>
                <w:highlight w:val="none"/>
                <w:u w:val="none"/>
              </w:rPr>
              <w:t>人；初核成案率为</w:t>
            </w:r>
            <w:r>
              <w:rPr>
                <w:rFonts w:hint="eastAsia" w:ascii="宋体" w:hAnsi="宋体" w:eastAsia="宋体" w:cs="宋体"/>
                <w:i w:val="0"/>
                <w:iCs w:val="0"/>
                <w:color w:val="000000"/>
                <w:sz w:val="21"/>
                <w:szCs w:val="21"/>
                <w:highlight w:val="none"/>
                <w:u w:val="none"/>
                <w:lang w:val="en-US" w:eastAsia="zh-CN"/>
              </w:rPr>
              <w:t>85.5</w:t>
            </w:r>
            <w:r>
              <w:rPr>
                <w:rFonts w:hint="eastAsia" w:ascii="宋体" w:hAnsi="宋体" w:eastAsia="宋体" w:cs="宋体"/>
                <w:i w:val="0"/>
                <w:iCs w:val="0"/>
                <w:color w:val="000000"/>
                <w:sz w:val="21"/>
                <w:szCs w:val="21"/>
                <w:highlight w:val="none"/>
                <w:u w:val="none"/>
              </w:rPr>
              <w:t>%；涉嫌犯罪移送检察机关审查起诉</w:t>
            </w:r>
            <w:r>
              <w:rPr>
                <w:rFonts w:hint="eastAsia" w:ascii="宋体" w:hAnsi="宋体" w:eastAsia="宋体" w:cs="宋体"/>
                <w:i w:val="0"/>
                <w:iCs w:val="0"/>
                <w:color w:val="000000"/>
                <w:sz w:val="21"/>
                <w:szCs w:val="21"/>
                <w:highlight w:val="none"/>
                <w:u w:val="none"/>
                <w:lang w:val="en-US" w:eastAsia="zh-CN"/>
              </w:rPr>
              <w:t>13</w:t>
            </w:r>
            <w:r>
              <w:rPr>
                <w:rFonts w:hint="eastAsia" w:ascii="宋体" w:hAnsi="宋体" w:eastAsia="宋体" w:cs="宋体"/>
                <w:i w:val="0"/>
                <w:iCs w:val="0"/>
                <w:color w:val="000000"/>
                <w:sz w:val="21"/>
                <w:szCs w:val="21"/>
                <w:highlight w:val="none"/>
                <w:u w:val="none"/>
              </w:rPr>
              <w:t>人；收缴违纪违法资金2489.96万元，挽回经济损失</w:t>
            </w:r>
            <w:r>
              <w:rPr>
                <w:rFonts w:hint="eastAsia" w:ascii="宋体" w:hAnsi="宋体" w:eastAsia="宋体" w:cs="宋体"/>
                <w:i w:val="0"/>
                <w:iCs w:val="0"/>
                <w:color w:val="000000"/>
                <w:sz w:val="21"/>
                <w:szCs w:val="21"/>
                <w:highlight w:val="none"/>
                <w:u w:val="none"/>
                <w:lang w:val="en-US" w:eastAsia="zh-CN"/>
              </w:rPr>
              <w:t>723.22</w:t>
            </w:r>
            <w:r>
              <w:rPr>
                <w:rFonts w:hint="eastAsia" w:ascii="宋体" w:hAnsi="宋体" w:eastAsia="宋体" w:cs="宋体"/>
                <w:i w:val="0"/>
                <w:iCs w:val="0"/>
                <w:color w:val="000000"/>
                <w:sz w:val="21"/>
                <w:szCs w:val="21"/>
                <w:highlight w:val="none"/>
                <w:u w:val="none"/>
              </w:rPr>
              <w:t>万元。</w:t>
            </w:r>
          </w:p>
        </w:tc>
      </w:tr>
      <w:tr w14:paraId="02EC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vMerge w:val="restart"/>
            <w:tcBorders>
              <w:top w:val="single" w:color="000000" w:sz="4" w:space="0"/>
              <w:left w:val="single" w:color="000000" w:sz="4" w:space="0"/>
              <w:bottom w:val="single" w:color="000000" w:sz="4" w:space="0"/>
              <w:right w:val="single" w:color="000000" w:sz="4" w:space="0"/>
            </w:tcBorders>
            <w:noWrap w:val="0"/>
            <w:vAlign w:val="center"/>
          </w:tcPr>
          <w:p w14:paraId="4B7B3D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38A0C8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D38A8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155A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354822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55415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E9081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79010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C6AD9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3683F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DC097">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E6BB0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381FA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210.73</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1AF5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60FA0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39C31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E81FD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479BF4E">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53247AF7">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14FDA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9F046">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556A5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2B84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210.73</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2A4B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4F085A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632.30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CA02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35CF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422B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5A57B">
            <w:pPr>
              <w:rPr>
                <w:rFonts w:hint="eastAsia" w:ascii="宋体" w:hAnsi="宋体" w:eastAsia="宋体" w:cs="宋体"/>
                <w:i/>
                <w:iCs/>
                <w:color w:val="000000"/>
                <w:sz w:val="21"/>
                <w:szCs w:val="21"/>
                <w:u w:val="none"/>
              </w:rPr>
            </w:pPr>
          </w:p>
        </w:tc>
      </w:tr>
      <w:tr w14:paraId="334BF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C2334F">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615F6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F2D7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0C77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6604E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3264F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87C0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2D58E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29A821">
            <w:pPr>
              <w:rPr>
                <w:rFonts w:hint="eastAsia" w:ascii="宋体" w:hAnsi="宋体" w:eastAsia="宋体" w:cs="宋体"/>
                <w:i/>
                <w:iCs/>
                <w:color w:val="000000"/>
                <w:sz w:val="21"/>
                <w:szCs w:val="21"/>
                <w:u w:val="none"/>
              </w:rPr>
            </w:pPr>
          </w:p>
        </w:tc>
      </w:tr>
      <w:tr w14:paraId="1735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691B3">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9B994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E7821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5481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6C621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10B6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E9BE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6A772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07EFE">
            <w:pPr>
              <w:rPr>
                <w:rFonts w:hint="eastAsia" w:ascii="宋体" w:hAnsi="宋体" w:eastAsia="宋体" w:cs="宋体"/>
                <w:i/>
                <w:iCs/>
                <w:color w:val="000000"/>
                <w:sz w:val="21"/>
                <w:szCs w:val="21"/>
                <w:u w:val="none"/>
              </w:rPr>
            </w:pPr>
          </w:p>
        </w:tc>
      </w:tr>
      <w:tr w14:paraId="5794B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65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CF2DBA">
            <w:pPr>
              <w:jc w:val="center"/>
              <w:rPr>
                <w:rFonts w:hint="eastAsia" w:ascii="宋体" w:hAnsi="宋体" w:eastAsia="宋体" w:cs="宋体"/>
                <w:i w:val="0"/>
                <w:iCs w:val="0"/>
                <w:color w:val="000000"/>
                <w:sz w:val="21"/>
                <w:szCs w:val="21"/>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6FCF6A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0703473">
            <w:pPr>
              <w:jc w:val="center"/>
              <w:rPr>
                <w:rFonts w:hint="eastAsia" w:ascii="宋体" w:hAnsi="宋体" w:eastAsia="宋体" w:cs="宋体"/>
                <w:i/>
                <w:iCs/>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8AE1E91">
            <w:pPr>
              <w:jc w:val="center"/>
              <w:rPr>
                <w:rFonts w:hint="eastAsia" w:ascii="宋体" w:hAnsi="宋体" w:eastAsia="宋体" w:cs="宋体"/>
                <w:i/>
                <w:iCs/>
                <w:color w:val="000000"/>
                <w:sz w:val="18"/>
                <w:szCs w:val="18"/>
                <w:u w:val="none"/>
              </w:rPr>
            </w:pPr>
          </w:p>
        </w:tc>
        <w:tc>
          <w:tcPr>
            <w:tcW w:w="1587" w:type="dxa"/>
            <w:gridSpan w:val="3"/>
            <w:tcBorders>
              <w:top w:val="single" w:color="000000" w:sz="4" w:space="0"/>
              <w:left w:val="single" w:color="000000" w:sz="4" w:space="0"/>
              <w:bottom w:val="single" w:color="000000" w:sz="4" w:space="0"/>
              <w:right w:val="single" w:color="000000" w:sz="4" w:space="0"/>
            </w:tcBorders>
            <w:noWrap w:val="0"/>
            <w:vAlign w:val="center"/>
          </w:tcPr>
          <w:p w14:paraId="0A417D36">
            <w:pPr>
              <w:jc w:val="center"/>
              <w:rPr>
                <w:rFonts w:hint="eastAsia" w:ascii="宋体" w:hAnsi="宋体" w:eastAsia="宋体" w:cs="宋体"/>
                <w:i/>
                <w:iCs/>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0255EA52">
            <w:pPr>
              <w:jc w:val="center"/>
              <w:rPr>
                <w:rFonts w:hint="eastAsia" w:ascii="宋体" w:hAnsi="宋体" w:eastAsia="宋体" w:cs="宋体"/>
                <w:i/>
                <w:iCs/>
                <w:color w:val="000000"/>
                <w:sz w:val="18"/>
                <w:szCs w:val="18"/>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727C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F9B0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92F15">
            <w:pPr>
              <w:rPr>
                <w:rFonts w:hint="eastAsia" w:ascii="宋体" w:hAnsi="宋体" w:eastAsia="宋体" w:cs="宋体"/>
                <w:i/>
                <w:iCs/>
                <w:color w:val="000000"/>
                <w:sz w:val="21"/>
                <w:szCs w:val="21"/>
                <w:u w:val="none"/>
              </w:rPr>
            </w:pPr>
          </w:p>
        </w:tc>
      </w:tr>
      <w:tr w14:paraId="00A06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trPr>
        <w:tc>
          <w:tcPr>
            <w:tcW w:w="656" w:type="dxa"/>
            <w:vMerge w:val="restart"/>
            <w:tcBorders>
              <w:top w:val="single" w:color="000000" w:sz="4" w:space="0"/>
              <w:left w:val="single" w:color="000000" w:sz="4" w:space="0"/>
              <w:right w:val="single" w:color="000000" w:sz="4" w:space="0"/>
            </w:tcBorders>
            <w:noWrap w:val="0"/>
            <w:vAlign w:val="center"/>
          </w:tcPr>
          <w:p w14:paraId="72E8179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绩效指标（90分）</w:t>
            </w:r>
          </w:p>
          <w:p w14:paraId="76297524">
            <w:pPr>
              <w:jc w:val="center"/>
              <w:rPr>
                <w:rFonts w:hint="eastAsia" w:ascii="宋体" w:hAnsi="宋体" w:eastAsia="宋体" w:cs="宋体"/>
                <w:i w:val="0"/>
                <w:iCs w:val="0"/>
                <w:color w:val="000000"/>
                <w:sz w:val="21"/>
                <w:szCs w:val="21"/>
                <w:u w:val="none"/>
              </w:rPr>
            </w:pPr>
          </w:p>
          <w:p w14:paraId="74BEB84B">
            <w:pPr>
              <w:pStyle w:val="20"/>
              <w:rPr>
                <w:rFonts w:hint="eastAsia" w:ascii="宋体" w:hAnsi="宋体"/>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77D6E5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3BCEB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392B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258E0C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DA0B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DB813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FD11B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C2FB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A2BA1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579D9C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未完成原因分析</w:t>
            </w:r>
          </w:p>
        </w:tc>
      </w:tr>
      <w:tr w14:paraId="773B9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656" w:type="dxa"/>
            <w:vMerge w:val="continue"/>
            <w:tcBorders>
              <w:left w:val="single" w:color="000000" w:sz="4" w:space="0"/>
              <w:right w:val="single" w:color="000000" w:sz="4" w:space="0"/>
            </w:tcBorders>
            <w:noWrap w:val="0"/>
            <w:vAlign w:val="center"/>
          </w:tcPr>
          <w:p w14:paraId="66117DA8">
            <w:pPr>
              <w:jc w:val="center"/>
              <w:rPr>
                <w:rFonts w:hint="eastAsia" w:ascii="宋体" w:hAnsi="宋体" w:eastAsia="宋体" w:cs="宋体"/>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5614C9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D3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5F80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要案数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5F32DD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DE87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1185D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1925E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8D6E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303C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9F1466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131B2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B987C68">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A00FD">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841E14">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43889C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一般</w:t>
            </w:r>
            <w:r>
              <w:rPr>
                <w:rFonts w:ascii="宋体" w:hAnsi="宋体" w:eastAsia="宋体" w:cs="宋体"/>
                <w:i w:val="0"/>
                <w:iCs w:val="0"/>
                <w:color w:val="000000"/>
                <w:kern w:val="0"/>
                <w:sz w:val="18"/>
                <w:szCs w:val="18"/>
                <w:u w:val="none"/>
                <w:lang w:val="en-US" w:eastAsia="zh-CN" w:bidi="ar"/>
              </w:rPr>
              <w:t>违纪违法立案审查调查</w:t>
            </w:r>
            <w:r>
              <w:rPr>
                <w:rFonts w:hint="eastAsia" w:ascii="宋体" w:hAnsi="宋体" w:eastAsia="宋体" w:cs="宋体"/>
                <w:i w:val="0"/>
                <w:iCs w:val="0"/>
                <w:color w:val="000000"/>
                <w:kern w:val="0"/>
                <w:sz w:val="18"/>
                <w:szCs w:val="18"/>
                <w:u w:val="none"/>
                <w:lang w:val="en-US" w:eastAsia="zh-CN" w:bidi="ar"/>
              </w:rPr>
              <w:t>案件</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415BA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D1C8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2B181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47F39F0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523</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5F6B7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774D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D5FFCC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25D34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A8F4084">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80DD2">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0F7C25">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23FD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办理移送起诉案件</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384EF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4A5C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2220C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1B9DCF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9653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98F4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13688B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46B8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BC83967">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2A3AB">
            <w:pPr>
              <w:jc w:val="center"/>
              <w:rPr>
                <w:rFonts w:hint="eastAsia" w:ascii="宋体" w:hAnsi="宋体" w:eastAsia="宋体" w:cs="宋体"/>
                <w:i w:val="0"/>
                <w:iCs w:val="0"/>
                <w:color w:val="000000"/>
                <w:sz w:val="18"/>
                <w:szCs w:val="18"/>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C83B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0275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人均查处数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01EFC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6EE4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53BE6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44AB29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3AA0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49A06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7CE0F80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2B146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BD130D6">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9239E">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8B8CEB">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7091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初核转立案率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36671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6C4E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5A38B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3A411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827C7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2CBB3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27E615F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29362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E5FB207">
            <w:pPr>
              <w:pStyle w:val="20"/>
              <w:rPr>
                <w:rFonts w:hint="eastAsia" w:ascii="宋体" w:hAnsi="宋体"/>
                <w:sz w:val="18"/>
                <w:szCs w:val="18"/>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D52BF">
            <w:pPr>
              <w:jc w:val="center"/>
              <w:rPr>
                <w:rFonts w:hint="eastAsia" w:ascii="宋体" w:hAnsi="宋体" w:eastAsia="宋体" w:cs="宋体"/>
                <w:i w:val="0"/>
                <w:iCs w:val="0"/>
                <w:color w:val="000000"/>
                <w:sz w:val="18"/>
                <w:szCs w:val="18"/>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38E52">
            <w:pPr>
              <w:jc w:val="center"/>
              <w:rPr>
                <w:rFonts w:hint="eastAsia" w:ascii="宋体" w:hAnsi="宋体" w:eastAsia="宋体" w:cs="宋体"/>
                <w:i w:val="0"/>
                <w:iCs w:val="0"/>
                <w:color w:val="000000"/>
                <w:sz w:val="18"/>
                <w:szCs w:val="18"/>
                <w:u w:val="none"/>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78ED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办案安全事故发生件数</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5048C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3FBE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2D87B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46977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AA2E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28D5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61E03E5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1AC32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508B4564">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CCC12A">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0AD09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1ADEF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查办案件完成及时率</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D2A9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5946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3754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B20A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A868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051B6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3C3CE96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3C217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44224F15">
            <w:pPr>
              <w:jc w:val="center"/>
              <w:rPr>
                <w:rFonts w:hint="eastAsia" w:ascii="宋体" w:hAnsi="宋体" w:eastAsia="宋体" w:cs="宋体"/>
                <w:i w:val="0"/>
                <w:iCs w:val="0"/>
                <w:color w:val="000000"/>
                <w:sz w:val="18"/>
                <w:szCs w:val="18"/>
                <w:u w:val="none"/>
              </w:rPr>
            </w:pPr>
          </w:p>
        </w:tc>
        <w:tc>
          <w:tcPr>
            <w:tcW w:w="1088" w:type="dxa"/>
            <w:vMerge w:val="restart"/>
            <w:tcBorders>
              <w:top w:val="single" w:color="000000" w:sz="4" w:space="0"/>
              <w:left w:val="single" w:color="000000" w:sz="4" w:space="0"/>
              <w:bottom w:val="single" w:color="000000" w:sz="4" w:space="0"/>
              <w:right w:val="single" w:color="000000" w:sz="4" w:space="0"/>
            </w:tcBorders>
            <w:noWrap w:val="0"/>
            <w:vAlign w:val="center"/>
          </w:tcPr>
          <w:p w14:paraId="3B818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D0C1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FB75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清退追缴违纪违法款</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04BF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5EC02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35859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25D7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2489.96</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718E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F813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7989FDC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100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6D0312D4">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AB7501">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D1E2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2191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实现政治生态清朗，营造风清气正政治生态</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25316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6A87F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6A97598A">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C015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6616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BC89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00CB5CF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25E6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right w:val="single" w:color="000000" w:sz="4" w:space="0"/>
            </w:tcBorders>
            <w:noWrap w:val="0"/>
            <w:vAlign w:val="center"/>
          </w:tcPr>
          <w:p w14:paraId="1ECC6D82">
            <w:pPr>
              <w:jc w:val="center"/>
              <w:rPr>
                <w:rFonts w:hint="eastAsia" w:ascii="宋体" w:hAnsi="宋体" w:eastAsia="宋体" w:cs="宋体"/>
                <w:i w:val="0"/>
                <w:iCs w:val="0"/>
                <w:color w:val="000000"/>
                <w:sz w:val="18"/>
                <w:szCs w:val="18"/>
                <w:u w:val="none"/>
              </w:rPr>
            </w:pPr>
          </w:p>
        </w:tc>
        <w:tc>
          <w:tcPr>
            <w:tcW w:w="10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C37B1">
            <w:pPr>
              <w:jc w:val="center"/>
              <w:rPr>
                <w:rFonts w:hint="eastAsia" w:ascii="宋体" w:hAnsi="宋体" w:eastAsia="宋体" w:cs="宋体"/>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7CE1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1F61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反腐败工作影响力</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17AB48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0F25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7382A326">
            <w:pPr>
              <w:jc w:val="center"/>
              <w:rPr>
                <w:rFonts w:hint="eastAsia" w:ascii="宋体" w:hAnsi="宋体" w:eastAsia="宋体" w:cs="宋体"/>
                <w:i w:val="0"/>
                <w:iCs w:val="0"/>
                <w:color w:val="000000"/>
                <w:sz w:val="18"/>
                <w:szCs w:val="18"/>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7CE4A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ADB1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71C27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4B9A782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0BA0E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656" w:type="dxa"/>
            <w:vMerge w:val="continue"/>
            <w:tcBorders>
              <w:left w:val="single" w:color="000000" w:sz="4" w:space="0"/>
              <w:bottom w:val="single" w:color="000000" w:sz="4" w:space="0"/>
              <w:right w:val="single" w:color="000000" w:sz="4" w:space="0"/>
            </w:tcBorders>
            <w:noWrap w:val="0"/>
            <w:vAlign w:val="center"/>
          </w:tcPr>
          <w:p w14:paraId="1DD7C5D8">
            <w:pPr>
              <w:jc w:val="center"/>
              <w:rPr>
                <w:rFonts w:hint="eastAsia" w:ascii="宋体" w:hAnsi="宋体" w:eastAsia="宋体" w:cs="宋体"/>
                <w:i w:val="0"/>
                <w:iCs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3E77D11B">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满意度</w:t>
            </w:r>
          </w:p>
          <w:p w14:paraId="1206F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E909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3823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人民群众满意度</w:t>
            </w:r>
          </w:p>
        </w:tc>
        <w:tc>
          <w:tcPr>
            <w:tcW w:w="412" w:type="dxa"/>
            <w:tcBorders>
              <w:top w:val="single" w:color="000000" w:sz="4" w:space="0"/>
              <w:left w:val="single" w:color="000000" w:sz="4" w:space="0"/>
              <w:bottom w:val="single" w:color="000000" w:sz="4" w:space="0"/>
              <w:right w:val="single" w:color="000000" w:sz="4" w:space="0"/>
            </w:tcBorders>
            <w:noWrap w:val="0"/>
            <w:vAlign w:val="center"/>
          </w:tcPr>
          <w:p w14:paraId="6BFE91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46497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687" w:type="dxa"/>
            <w:tcBorders>
              <w:top w:val="single" w:color="000000" w:sz="4" w:space="0"/>
              <w:left w:val="single" w:color="000000" w:sz="4" w:space="0"/>
              <w:bottom w:val="single" w:color="000000" w:sz="4" w:space="0"/>
              <w:right w:val="single" w:color="000000" w:sz="4" w:space="0"/>
            </w:tcBorders>
            <w:noWrap w:val="0"/>
            <w:vAlign w:val="center"/>
          </w:tcPr>
          <w:p w14:paraId="194CF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200E3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9E9B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1C11A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153E2E2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无</w:t>
            </w:r>
          </w:p>
        </w:tc>
      </w:tr>
      <w:tr w14:paraId="1432C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256" w:type="dxa"/>
            <w:gridSpan w:val="8"/>
            <w:tcBorders>
              <w:top w:val="single" w:color="000000" w:sz="4" w:space="0"/>
              <w:left w:val="single" w:color="000000" w:sz="4" w:space="0"/>
              <w:bottom w:val="single" w:color="000000" w:sz="4" w:space="0"/>
              <w:right w:val="single" w:color="000000" w:sz="4" w:space="0"/>
            </w:tcBorders>
            <w:noWrap w:val="0"/>
            <w:vAlign w:val="center"/>
          </w:tcPr>
          <w:p w14:paraId="1824B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99AA907">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14:paraId="3E2015FF">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3C7A1886">
            <w:pPr>
              <w:rPr>
                <w:rFonts w:hint="eastAsia" w:ascii="宋体" w:hAnsi="宋体" w:eastAsia="宋体" w:cs="宋体"/>
                <w:i w:val="0"/>
                <w:iCs w:val="0"/>
                <w:color w:val="000000"/>
                <w:sz w:val="18"/>
                <w:szCs w:val="18"/>
                <w:u w:val="none"/>
              </w:rPr>
            </w:pPr>
          </w:p>
        </w:tc>
      </w:tr>
      <w:tr w14:paraId="3562D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4A075C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6A1137EA">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rPr>
              <w:t>2024年坚持以办案为引领，紧盯群众身边不正之风和腐败问题，强化职能监督，做好服务保障，提升工作质效，推动反腐败斗争向基层延伸、向群众延伸，持续取得新成效。立案总数位居全省县、区第一，主动发现问题能力不断提升，先法后纪案件占比大幅度下降。</w:t>
            </w:r>
          </w:p>
        </w:tc>
      </w:tr>
      <w:tr w14:paraId="06F05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366F81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6E5FE14E">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是初核转立案率还有待提升。2024年，全县审查调查各项重要指标均名列三个县区前茅，但初核成案率为85.5%，未达市纪委88%要求。主要原因是办案单位对问题线索的集体分析研判、侧面了解力度还不够，提出的线索处置方式不精准。二是“两久”问题依然严峻复杂。截至目前，安岳仍有2022年立案未办结案件2件、2023年立案未办结案件1件。原因是案件系省市指定管辖案件，需省市纪委监委统一处理处分意见。</w:t>
            </w:r>
          </w:p>
        </w:tc>
      </w:tr>
      <w:tr w14:paraId="1202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56" w:type="dxa"/>
            <w:tcBorders>
              <w:top w:val="single" w:color="000000" w:sz="4" w:space="0"/>
              <w:left w:val="single" w:color="000000" w:sz="4" w:space="0"/>
              <w:bottom w:val="single" w:color="000000" w:sz="4" w:space="0"/>
              <w:right w:val="single" w:color="000000" w:sz="4" w:space="0"/>
            </w:tcBorders>
            <w:noWrap w:val="0"/>
            <w:vAlign w:val="center"/>
          </w:tcPr>
          <w:p w14:paraId="0BEFD5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311" w:type="dxa"/>
            <w:gridSpan w:val="10"/>
            <w:tcBorders>
              <w:top w:val="single" w:color="000000" w:sz="4" w:space="0"/>
              <w:left w:val="single" w:color="000000" w:sz="4" w:space="0"/>
              <w:bottom w:val="single" w:color="000000" w:sz="4" w:space="0"/>
              <w:right w:val="single" w:color="000000" w:sz="4" w:space="0"/>
            </w:tcBorders>
            <w:noWrap w:val="0"/>
            <w:vAlign w:val="center"/>
          </w:tcPr>
          <w:p w14:paraId="67CD6425">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是聚焦“精准”，全力以赴“提质效”。各办案单位对问题线索处置要做到精准研判，审慎提出处置方式，不确定是否成案的线索建议先采取谈话函询方式，经核查后能立案的可转初步核实，确保提高初核成案率。强化案件质量共同体意识，全</w:t>
            </w:r>
            <w:r>
              <w:rPr>
                <w:rFonts w:hint="eastAsia" w:ascii="宋体" w:hAnsi="宋体" w:cs="宋体"/>
                <w:i w:val="0"/>
                <w:iCs w:val="0"/>
                <w:color w:val="000000"/>
                <w:kern w:val="0"/>
                <w:sz w:val="21"/>
                <w:szCs w:val="21"/>
                <w:u w:val="none"/>
                <w:lang w:val="en-US" w:eastAsia="zh-CN" w:bidi="ar"/>
              </w:rPr>
              <w:t>周</w:t>
            </w:r>
            <w:bookmarkStart w:id="126" w:name="_GoBack"/>
            <w:bookmarkEnd w:id="126"/>
            <w:r>
              <w:rPr>
                <w:rFonts w:hint="eastAsia" w:ascii="宋体" w:hAnsi="宋体" w:eastAsia="宋体" w:cs="宋体"/>
                <w:i w:val="0"/>
                <w:iCs w:val="0"/>
                <w:color w:val="000000"/>
                <w:kern w:val="0"/>
                <w:sz w:val="21"/>
                <w:szCs w:val="21"/>
                <w:u w:val="none"/>
                <w:lang w:val="en-US" w:eastAsia="zh-CN" w:bidi="ar"/>
              </w:rPr>
              <w:t>期管控案件质量。二是聚焦“时效”，铆足干劲“去存量”。按照《问题线索和案件临期预警管理和重点督办工作办法》工作要求，明确办件时长，强化催办、督办，动态清零“两久”线索和案件。</w:t>
            </w:r>
          </w:p>
        </w:tc>
      </w:tr>
      <w:tr w14:paraId="5E570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206" w:type="dxa"/>
            <w:gridSpan w:val="5"/>
            <w:tcBorders>
              <w:top w:val="single" w:color="000000" w:sz="4" w:space="0"/>
              <w:left w:val="single" w:color="000000" w:sz="4" w:space="0"/>
              <w:bottom w:val="single" w:color="000000" w:sz="4" w:space="0"/>
              <w:right w:val="single" w:color="000000" w:sz="4" w:space="0"/>
            </w:tcBorders>
            <w:noWrap w:val="0"/>
            <w:vAlign w:val="center"/>
          </w:tcPr>
          <w:p w14:paraId="7638CF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761" w:type="dxa"/>
            <w:gridSpan w:val="6"/>
            <w:tcBorders>
              <w:top w:val="single" w:color="000000" w:sz="4" w:space="0"/>
              <w:left w:val="single" w:color="000000" w:sz="4" w:space="0"/>
              <w:bottom w:val="single" w:color="000000" w:sz="4" w:space="0"/>
              <w:right w:val="single" w:color="000000" w:sz="4" w:space="0"/>
            </w:tcBorders>
            <w:noWrap w:val="0"/>
            <w:vAlign w:val="center"/>
          </w:tcPr>
          <w:p w14:paraId="0A5482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75183012">
      <w:pPr>
        <w:rPr>
          <w:rFonts w:hint="eastAsia" w:ascii="宋体" w:hAnsi="宋体" w:eastAsia="方正小标宋_GBK" w:cs="方正小标宋_GBK"/>
          <w:i w:val="0"/>
          <w:color w:val="000000"/>
          <w:kern w:val="0"/>
          <w:sz w:val="44"/>
          <w:szCs w:val="44"/>
          <w:u w:val="none"/>
          <w:lang w:val="en-US" w:eastAsia="zh-CN" w:bidi="ar"/>
        </w:rPr>
      </w:pPr>
      <w:r>
        <w:rPr>
          <w:rFonts w:hint="eastAsia" w:ascii="宋体" w:hAnsi="宋体" w:eastAsia="方正小标宋_GBK" w:cs="方正小标宋_GBK"/>
          <w:i w:val="0"/>
          <w:color w:val="000000"/>
          <w:kern w:val="0"/>
          <w:sz w:val="44"/>
          <w:szCs w:val="44"/>
          <w:u w:val="none"/>
          <w:lang w:val="en-US" w:eastAsia="zh-CN" w:bidi="ar"/>
        </w:rPr>
        <w:br w:type="page"/>
      </w:r>
    </w:p>
    <w:p w14:paraId="2A30673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方正黑体简体" w:cs="方正黑体简体"/>
          <w:i w:val="0"/>
          <w:color w:val="000000"/>
          <w:kern w:val="0"/>
          <w:sz w:val="32"/>
          <w:szCs w:val="32"/>
          <w:u w:val="none"/>
          <w:lang w:val="en-US" w:eastAsia="zh-CN" w:bidi="ar"/>
        </w:rPr>
      </w:pPr>
      <w:r>
        <w:rPr>
          <w:rFonts w:hint="eastAsia" w:ascii="宋体" w:hAnsi="宋体" w:eastAsia="方正黑体简体" w:cs="方正黑体简体"/>
          <w:i w:val="0"/>
          <w:color w:val="000000"/>
          <w:kern w:val="0"/>
          <w:sz w:val="32"/>
          <w:szCs w:val="32"/>
          <w:u w:val="none"/>
          <w:lang w:val="en-US" w:eastAsia="zh-CN" w:bidi="ar"/>
        </w:rPr>
        <w:t>安岳县2024年度预算项目支出绩效自评表</w:t>
      </w:r>
    </w:p>
    <w:tbl>
      <w:tblPr>
        <w:tblStyle w:val="16"/>
        <w:tblW w:w="9387" w:type="dxa"/>
        <w:tblInd w:w="-1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7"/>
        <w:gridCol w:w="963"/>
        <w:gridCol w:w="1100"/>
        <w:gridCol w:w="1837"/>
        <w:gridCol w:w="350"/>
        <w:gridCol w:w="400"/>
        <w:gridCol w:w="688"/>
        <w:gridCol w:w="887"/>
        <w:gridCol w:w="500"/>
        <w:gridCol w:w="425"/>
        <w:gridCol w:w="1550"/>
      </w:tblGrid>
      <w:tr w14:paraId="5D8CB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16C598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737" w:type="dxa"/>
            <w:gridSpan w:val="9"/>
            <w:tcBorders>
              <w:top w:val="single" w:color="000000" w:sz="4" w:space="0"/>
              <w:left w:val="single" w:color="000000" w:sz="4" w:space="0"/>
              <w:bottom w:val="single" w:color="000000" w:sz="4" w:space="0"/>
              <w:right w:val="single" w:color="000000" w:sz="4" w:space="0"/>
            </w:tcBorders>
            <w:noWrap w:val="0"/>
            <w:vAlign w:val="center"/>
          </w:tcPr>
          <w:p w14:paraId="2D99565C">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w:t>
            </w:r>
            <w:r>
              <w:rPr>
                <w:rFonts w:hint="eastAsia" w:ascii="宋体" w:hAnsi="宋体" w:cs="宋体"/>
                <w:i w:val="0"/>
                <w:iCs w:val="0"/>
                <w:color w:val="000000"/>
                <w:sz w:val="21"/>
                <w:szCs w:val="21"/>
                <w:u w:val="none"/>
                <w:lang w:val="en-US" w:eastAsia="zh-CN"/>
              </w:rPr>
              <w:t>T</w:t>
            </w:r>
            <w:r>
              <w:rPr>
                <w:rFonts w:hint="eastAsia" w:ascii="宋体" w:hAnsi="宋体" w:eastAsia="宋体" w:cs="宋体"/>
                <w:i w:val="0"/>
                <w:iCs w:val="0"/>
                <w:color w:val="000000"/>
                <w:sz w:val="21"/>
                <w:szCs w:val="21"/>
                <w:u w:val="none"/>
              </w:rPr>
              <w:t>000000</w:t>
            </w:r>
            <w:r>
              <w:rPr>
                <w:rFonts w:hint="eastAsia" w:ascii="宋体" w:hAnsi="宋体" w:cs="宋体"/>
                <w:i w:val="0"/>
                <w:iCs w:val="0"/>
                <w:color w:val="000000"/>
                <w:sz w:val="21"/>
                <w:szCs w:val="21"/>
                <w:u w:val="none"/>
                <w:lang w:val="en-US" w:eastAsia="zh-CN"/>
              </w:rPr>
              <w:t>247116</w:t>
            </w:r>
            <w:r>
              <w:rPr>
                <w:rFonts w:hint="eastAsia" w:ascii="宋体" w:hAnsi="宋体" w:eastAsia="宋体" w:cs="宋体"/>
                <w:i w:val="0"/>
                <w:iCs w:val="0"/>
                <w:color w:val="000000"/>
                <w:sz w:val="21"/>
                <w:szCs w:val="21"/>
                <w:u w:val="none"/>
              </w:rPr>
              <w:t>-</w:t>
            </w:r>
            <w:r>
              <w:rPr>
                <w:rFonts w:hint="eastAsia" w:ascii="宋体" w:hAnsi="宋体" w:eastAsia="宋体" w:cs="宋体"/>
                <w:i w:val="0"/>
                <w:iCs w:val="0"/>
                <w:color w:val="000000"/>
                <w:sz w:val="21"/>
                <w:szCs w:val="21"/>
                <w:u w:val="none"/>
                <w:lang w:val="en-US" w:eastAsia="zh-CN"/>
              </w:rPr>
              <w:t>党风廉政建设宣教及专项监督检查经费</w:t>
            </w:r>
          </w:p>
        </w:tc>
      </w:tr>
      <w:tr w14:paraId="3E9BE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0707E9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4EA7F794">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87" w:type="dxa"/>
            <w:tcBorders>
              <w:top w:val="nil"/>
              <w:left w:val="nil"/>
              <w:bottom w:val="nil"/>
              <w:right w:val="nil"/>
            </w:tcBorders>
            <w:noWrap w:val="0"/>
            <w:vAlign w:val="center"/>
          </w:tcPr>
          <w:p w14:paraId="39A3AA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实施单位（盖章）</w:t>
            </w:r>
          </w:p>
        </w:tc>
        <w:tc>
          <w:tcPr>
            <w:tcW w:w="2475" w:type="dxa"/>
            <w:gridSpan w:val="3"/>
            <w:tcBorders>
              <w:top w:val="single" w:color="000000" w:sz="4" w:space="0"/>
              <w:left w:val="single" w:color="000000" w:sz="4" w:space="0"/>
              <w:bottom w:val="single" w:color="000000" w:sz="4" w:space="0"/>
              <w:right w:val="single" w:color="000000" w:sz="4" w:space="0"/>
            </w:tcBorders>
            <w:noWrap w:val="0"/>
            <w:vAlign w:val="center"/>
          </w:tcPr>
          <w:p w14:paraId="6A551714">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r>
      <w:tr w14:paraId="1015B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1DD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63" w:type="dxa"/>
            <w:vMerge w:val="restart"/>
            <w:tcBorders>
              <w:top w:val="single" w:color="000000" w:sz="4" w:space="0"/>
              <w:left w:val="single" w:color="000000" w:sz="4" w:space="0"/>
              <w:bottom w:val="single" w:color="000000" w:sz="4" w:space="0"/>
              <w:right w:val="single" w:color="000000" w:sz="4" w:space="0"/>
            </w:tcBorders>
            <w:noWrap w:val="0"/>
            <w:vAlign w:val="center"/>
          </w:tcPr>
          <w:p w14:paraId="7F021B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6F0AC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362" w:type="dxa"/>
            <w:gridSpan w:val="4"/>
            <w:tcBorders>
              <w:top w:val="single" w:color="000000" w:sz="4" w:space="0"/>
              <w:left w:val="single" w:color="000000" w:sz="4" w:space="0"/>
              <w:bottom w:val="single" w:color="000000" w:sz="4" w:space="0"/>
              <w:right w:val="single" w:color="000000" w:sz="4" w:space="0"/>
            </w:tcBorders>
            <w:noWrap w:val="0"/>
            <w:vAlign w:val="center"/>
          </w:tcPr>
          <w:p w14:paraId="7CC35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58680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DB94DC">
            <w:pPr>
              <w:rPr>
                <w:rFonts w:hint="eastAsia" w:ascii="宋体" w:hAnsi="宋体" w:eastAsia="宋体" w:cs="宋体"/>
                <w:i w:val="0"/>
                <w:iCs w:val="0"/>
                <w:color w:val="000000"/>
                <w:sz w:val="21"/>
                <w:szCs w:val="21"/>
                <w:u w:val="none"/>
              </w:rPr>
            </w:pPr>
          </w:p>
        </w:tc>
        <w:tc>
          <w:tcPr>
            <w:tcW w:w="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34445A">
            <w:pPr>
              <w:rPr>
                <w:rFonts w:hint="eastAsia" w:ascii="宋体" w:hAnsi="宋体" w:eastAsia="宋体" w:cs="宋体"/>
                <w:i w:val="0"/>
                <w:iCs w:val="0"/>
                <w:color w:val="000000"/>
                <w:sz w:val="21"/>
                <w:szCs w:val="21"/>
                <w:u w:val="none"/>
              </w:rPr>
            </w:pPr>
          </w:p>
        </w:tc>
        <w:tc>
          <w:tcPr>
            <w:tcW w:w="4375" w:type="dxa"/>
            <w:gridSpan w:val="5"/>
            <w:tcBorders>
              <w:top w:val="single" w:color="000000" w:sz="4" w:space="0"/>
              <w:left w:val="single" w:color="000000" w:sz="4" w:space="0"/>
              <w:bottom w:val="single" w:color="000000" w:sz="4" w:space="0"/>
              <w:right w:val="single" w:color="000000" w:sz="4" w:space="0"/>
            </w:tcBorders>
            <w:noWrap w:val="0"/>
            <w:vAlign w:val="center"/>
          </w:tcPr>
          <w:p w14:paraId="073669F9">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开展“大宣传扬正气”系列活动，发挥电视、报刊、新媒体等作用，科学谋划，充分展示“清廉安岳”的进展动态，深入挖掘“清廉安岳”建设中的先进典型，特色亮点开展广泛宣传，进一步增强党员干部廉洁法律意识，提升我县党风廉政建设和反腐败工作影响力。</w:t>
            </w:r>
          </w:p>
        </w:tc>
        <w:tc>
          <w:tcPr>
            <w:tcW w:w="3362" w:type="dxa"/>
            <w:gridSpan w:val="4"/>
            <w:tcBorders>
              <w:top w:val="single" w:color="000000" w:sz="4" w:space="0"/>
              <w:left w:val="single" w:color="000000" w:sz="4" w:space="0"/>
              <w:bottom w:val="single" w:color="000000" w:sz="4" w:space="0"/>
              <w:right w:val="single" w:color="000000" w:sz="4" w:space="0"/>
            </w:tcBorders>
            <w:noWrap w:val="0"/>
            <w:vAlign w:val="center"/>
          </w:tcPr>
          <w:p w14:paraId="3A9A3A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宣教</w:t>
            </w:r>
            <w:r>
              <w:rPr>
                <w:rFonts w:hint="eastAsia" w:ascii="宋体" w:hAnsi="宋体" w:eastAsia="宋体" w:cs="宋体"/>
                <w:i w:val="0"/>
                <w:iCs w:val="0"/>
                <w:color w:val="000000"/>
                <w:sz w:val="21"/>
                <w:szCs w:val="21"/>
                <w:u w:val="none"/>
              </w:rPr>
              <w:t>方面</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实现中央级媒体突破，在重点媒体发稿，省级平台采用25篇次，打造4篇10万+爆款，显著提升"清廉安岳"影响力。监督方面</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通过常态化政治监督和专项整治，有效增强党员干部廉洁意识，群众满意度持续提高，为全县党风廉政建设和反腐败工作提供有力保障，全面达成年度绩效目标。</w:t>
            </w:r>
          </w:p>
        </w:tc>
      </w:tr>
      <w:tr w14:paraId="73D6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C16738">
            <w:pP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33171F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737" w:type="dxa"/>
            <w:gridSpan w:val="9"/>
            <w:tcBorders>
              <w:top w:val="single" w:color="000000" w:sz="4" w:space="0"/>
              <w:left w:val="single" w:color="000000" w:sz="4" w:space="0"/>
              <w:bottom w:val="single" w:color="000000" w:sz="4" w:space="0"/>
              <w:right w:val="single" w:color="000000" w:sz="4" w:space="0"/>
            </w:tcBorders>
            <w:noWrap w:val="0"/>
            <w:vAlign w:val="center"/>
          </w:tcPr>
          <w:p w14:paraId="67380431">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宣教</w:t>
            </w:r>
            <w:r>
              <w:rPr>
                <w:rFonts w:hint="eastAsia" w:ascii="宋体" w:hAnsi="宋体" w:eastAsia="宋体" w:cs="宋体"/>
                <w:i w:val="0"/>
                <w:iCs w:val="0"/>
                <w:color w:val="000000"/>
                <w:sz w:val="21"/>
                <w:szCs w:val="21"/>
                <w:u w:val="none"/>
              </w:rPr>
              <w:t>方面，以“大宣传扬正气”为抓手，在中央级媒体刊发重点稿件</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在省纪委监委平台发布稿件25篇次。监督方面，一是开展专项整治，聚焦校园食品安全、农村“三资”管理等领域，运用“码上举报”“阳光问廉”推动问题解决；二是强化政治监督，深化跨区域联合监督，持续整治医药腐败和营商环境问题；三是深化正风肃纪，围绕巡视整改、重要节点开展专项检查</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严防“四风”反弹。</w:t>
            </w:r>
          </w:p>
        </w:tc>
      </w:tr>
      <w:tr w14:paraId="15A76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511782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6BC121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年度</w:t>
            </w:r>
          </w:p>
          <w:p w14:paraId="7869D3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预算数</w:t>
            </w:r>
          </w:p>
          <w:p w14:paraId="221477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（万元）</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756B4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9891E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016D9D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0657E5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A461E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3FB3E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009E3E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1050A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BA183">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481A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1493667">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68.00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3E77A1E">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3AC5E74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0CBF3DB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24429B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15BE806">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5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47C40C">
            <w:pPr>
              <w:keepNext w:val="0"/>
              <w:keepLines w:val="0"/>
              <w:widowControl/>
              <w:suppressLineNumbers w:val="0"/>
              <w:jc w:val="center"/>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18"/>
                <w:szCs w:val="18"/>
                <w:u w:val="none"/>
                <w:lang w:val="en-US" w:eastAsia="zh-CN" w:bidi="ar"/>
              </w:rPr>
              <w:t>无</w:t>
            </w:r>
          </w:p>
        </w:tc>
      </w:tr>
      <w:tr w14:paraId="5B37D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1412F8">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579F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5C3AC05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68.00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B1094F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6CA9EC7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51.79</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ADBECB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95BCC9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BA339E2">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D5B381">
            <w:pPr>
              <w:rPr>
                <w:rFonts w:hint="eastAsia" w:ascii="宋体" w:hAnsi="宋体" w:eastAsia="宋体" w:cs="宋体"/>
                <w:i/>
                <w:iCs/>
                <w:color w:val="000000"/>
                <w:sz w:val="21"/>
                <w:szCs w:val="21"/>
                <w:u w:val="none"/>
              </w:rPr>
            </w:pPr>
          </w:p>
        </w:tc>
      </w:tr>
      <w:tr w14:paraId="6251C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2DA25F">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7F6C6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5008D6F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F03519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3929BE6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AC6AAF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053FA6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4AEB03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902CE5">
            <w:pPr>
              <w:rPr>
                <w:rFonts w:hint="eastAsia" w:ascii="宋体" w:hAnsi="宋体" w:eastAsia="宋体" w:cs="宋体"/>
                <w:i/>
                <w:iCs/>
                <w:color w:val="000000"/>
                <w:sz w:val="21"/>
                <w:szCs w:val="21"/>
                <w:u w:val="none"/>
              </w:rPr>
            </w:pPr>
          </w:p>
        </w:tc>
      </w:tr>
      <w:tr w14:paraId="11FCD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C75C2B">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114EC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367CDCB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9D163C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3511000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8A0687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AF6167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8DFC24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7C8BE5">
            <w:pPr>
              <w:rPr>
                <w:rFonts w:hint="eastAsia" w:ascii="宋体" w:hAnsi="宋体" w:eastAsia="宋体" w:cs="宋体"/>
                <w:i/>
                <w:iCs/>
                <w:color w:val="000000"/>
                <w:sz w:val="21"/>
                <w:szCs w:val="21"/>
                <w:u w:val="none"/>
              </w:rPr>
            </w:pPr>
          </w:p>
        </w:tc>
      </w:tr>
      <w:tr w14:paraId="59A9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E3DF85">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247E0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9C2D91A">
            <w:pPr>
              <w:jc w:val="center"/>
              <w:rPr>
                <w:rFonts w:hint="eastAsia" w:ascii="宋体" w:hAnsi="宋体" w:eastAsia="宋体" w:cs="宋体"/>
                <w:i w:val="0"/>
                <w:iCs w:val="0"/>
                <w:color w:val="000000"/>
                <w:sz w:val="18"/>
                <w:szCs w:val="18"/>
                <w:u w:val="none"/>
                <w:lang w:val="en-US" w:eastAsia="zh-CN"/>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AC93BFB">
            <w:pPr>
              <w:jc w:val="center"/>
              <w:rPr>
                <w:rFonts w:hint="eastAsia" w:ascii="宋体" w:hAnsi="宋体" w:eastAsia="宋体" w:cs="宋体"/>
                <w:i w:val="0"/>
                <w:iCs w:val="0"/>
                <w:color w:val="000000"/>
                <w:sz w:val="18"/>
                <w:szCs w:val="18"/>
                <w:u w:val="none"/>
                <w:lang w:val="en-US" w:eastAsia="zh-CN"/>
              </w:rPr>
            </w:pPr>
          </w:p>
        </w:tc>
        <w:tc>
          <w:tcPr>
            <w:tcW w:w="1438" w:type="dxa"/>
            <w:gridSpan w:val="3"/>
            <w:tcBorders>
              <w:top w:val="single" w:color="000000" w:sz="4" w:space="0"/>
              <w:left w:val="single" w:color="000000" w:sz="4" w:space="0"/>
              <w:bottom w:val="single" w:color="000000" w:sz="4" w:space="0"/>
              <w:right w:val="single" w:color="000000" w:sz="4" w:space="0"/>
            </w:tcBorders>
            <w:noWrap w:val="0"/>
            <w:vAlign w:val="center"/>
          </w:tcPr>
          <w:p w14:paraId="2797E538">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57822BE">
            <w:pPr>
              <w:jc w:val="center"/>
              <w:rPr>
                <w:rFonts w:hint="eastAsia" w:ascii="宋体" w:hAnsi="宋体" w:eastAsia="宋体" w:cs="宋体"/>
                <w:i w:val="0"/>
                <w:iCs w:val="0"/>
                <w:color w:val="000000"/>
                <w:sz w:val="18"/>
                <w:szCs w:val="18"/>
                <w:u w:val="none"/>
                <w:lang w:val="en-US" w:eastAsia="zh-CN"/>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76F87B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47A67BC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15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9CDDAC">
            <w:pPr>
              <w:rPr>
                <w:rFonts w:hint="eastAsia" w:ascii="宋体" w:hAnsi="宋体" w:eastAsia="宋体" w:cs="宋体"/>
                <w:i/>
                <w:iCs/>
                <w:color w:val="000000"/>
                <w:sz w:val="21"/>
                <w:szCs w:val="21"/>
                <w:u w:val="none"/>
              </w:rPr>
            </w:pPr>
          </w:p>
        </w:tc>
      </w:tr>
      <w:tr w14:paraId="46E1B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14:paraId="160CD4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53D13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9AA1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2D64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4FA23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259FF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8499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609AC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F9C5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C5D8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78E19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14:paraId="6ECE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C30B69">
            <w:pPr>
              <w:jc w:val="center"/>
              <w:rPr>
                <w:rFonts w:hint="eastAsia" w:ascii="宋体" w:hAnsi="宋体" w:eastAsia="宋体" w:cs="宋体"/>
                <w:i w:val="0"/>
                <w:iCs w:val="0"/>
                <w:color w:val="000000"/>
                <w:sz w:val="21"/>
                <w:szCs w:val="21"/>
                <w:u w:val="none"/>
              </w:rPr>
            </w:pPr>
          </w:p>
        </w:tc>
        <w:tc>
          <w:tcPr>
            <w:tcW w:w="963" w:type="dxa"/>
            <w:vMerge w:val="restart"/>
            <w:tcBorders>
              <w:top w:val="single" w:color="000000" w:sz="4" w:space="0"/>
              <w:left w:val="single" w:color="000000" w:sz="4" w:space="0"/>
              <w:right w:val="single" w:color="000000" w:sz="4" w:space="0"/>
            </w:tcBorders>
            <w:noWrap w:val="0"/>
            <w:vAlign w:val="center"/>
          </w:tcPr>
          <w:p w14:paraId="57A469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p w14:paraId="1D6E21D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100" w:type="dxa"/>
            <w:vMerge w:val="restart"/>
            <w:tcBorders>
              <w:top w:val="single" w:color="000000" w:sz="4" w:space="0"/>
              <w:left w:val="single" w:color="000000" w:sz="4" w:space="0"/>
              <w:right w:val="single" w:color="000000" w:sz="4" w:space="0"/>
            </w:tcBorders>
            <w:noWrap w:val="0"/>
            <w:vAlign w:val="center"/>
          </w:tcPr>
          <w:p w14:paraId="3CA8D8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p w14:paraId="44FAD8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FAD91D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宣传产品</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0D0FC17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02FD98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74911F2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个</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A0EF27F">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D8E8120">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D1A406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54469A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0C7B1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1FA440">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687921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3CD19BB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A8A821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制作警示教育片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53CC4CB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DEA803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3C10852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E186931">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C5C474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E1D8437">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D70635C">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67245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233EE2">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4A8561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007734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CF4CE6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创作家风家教、公益广告、警示教育短剧、微视频</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567FB8B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E0143C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6497B34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3AB1C04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E5DE7F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B8FB57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533CB3A">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08462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8D0512">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2D054C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00DD489F">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BA4BAA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制播纪检监察综述片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99AA6F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5A559E1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60B70A2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篇（部）</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3CE089F">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1677F4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F91CD3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F3613D2">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42D8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C10F0">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7C1F2DB3">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70638E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8D93D0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党风廉政建设专项整治、专项督查次数</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6502D71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3AA62B8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B924C6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A5D952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DEDC6E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4959EC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1572114">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4704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2BC037">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594E19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right w:val="single" w:color="000000" w:sz="4" w:space="0"/>
            </w:tcBorders>
            <w:noWrap w:val="0"/>
            <w:vAlign w:val="center"/>
          </w:tcPr>
          <w:p w14:paraId="45C207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45FF74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采写报刊新闻报道</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2E56A45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ADF181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403829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7BAA142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446491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F2C0E1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811D323">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74C2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7726F">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18380A8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bottom w:val="single" w:color="000000" w:sz="4" w:space="0"/>
              <w:right w:val="single" w:color="000000" w:sz="4" w:space="0"/>
            </w:tcBorders>
            <w:noWrap w:val="0"/>
            <w:vAlign w:val="center"/>
          </w:tcPr>
          <w:p w14:paraId="7950D3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B15DD2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开展“阳光问廉”策划活动</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303275E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3816F2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6FF7F51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场次</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34BBC6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07F677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AF4BACE">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0792CFC1">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DE1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1B6ED">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5D3E556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100" w:type="dxa"/>
            <w:vMerge w:val="restart"/>
            <w:tcBorders>
              <w:top w:val="single" w:color="000000" w:sz="4" w:space="0"/>
              <w:left w:val="single" w:color="000000" w:sz="4" w:space="0"/>
              <w:right w:val="single" w:color="000000" w:sz="4" w:space="0"/>
            </w:tcBorders>
            <w:noWrap w:val="0"/>
            <w:vAlign w:val="center"/>
          </w:tcPr>
          <w:p w14:paraId="542D4D2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质量指标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F984C1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宣传稿件、宣传产品质量和采用率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7FF26C0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689AB25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ABAD51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0D7E10F">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793F78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2B701B5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2BDE6EB">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3C2D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54B67D">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right w:val="single" w:color="000000" w:sz="4" w:space="0"/>
            </w:tcBorders>
            <w:noWrap w:val="0"/>
            <w:vAlign w:val="center"/>
          </w:tcPr>
          <w:p w14:paraId="7A5FD8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vMerge w:val="continue"/>
            <w:tcBorders>
              <w:left w:val="single" w:color="000000" w:sz="4" w:space="0"/>
              <w:bottom w:val="single" w:color="000000" w:sz="4" w:space="0"/>
              <w:right w:val="single" w:color="000000" w:sz="4" w:space="0"/>
            </w:tcBorders>
            <w:noWrap w:val="0"/>
            <w:vAlign w:val="center"/>
          </w:tcPr>
          <w:p w14:paraId="4C7E34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9612E9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专项督查及整治完成率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2DA7087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4FB30A2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90</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9C3384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D5A8B3C">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B4CEF04">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54B7AA0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7E2D1D6">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6828A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291DB">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bottom w:val="single" w:color="000000" w:sz="4" w:space="0"/>
              <w:right w:val="single" w:color="000000" w:sz="4" w:space="0"/>
            </w:tcBorders>
            <w:noWrap w:val="0"/>
            <w:vAlign w:val="center"/>
          </w:tcPr>
          <w:p w14:paraId="144C880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62BA7B8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时效指标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6FC9DE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完成时间</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5E646A8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7DB826B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D8BA16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年</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16D82C3D">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12541E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E8FC90E">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081BD8E0">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008C0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969AE8">
            <w:pPr>
              <w:jc w:val="center"/>
              <w:rPr>
                <w:rFonts w:hint="eastAsia" w:ascii="宋体" w:hAnsi="宋体" w:eastAsia="宋体" w:cs="宋体"/>
                <w:i w:val="0"/>
                <w:iCs w:val="0"/>
                <w:color w:val="000000"/>
                <w:sz w:val="21"/>
                <w:szCs w:val="21"/>
                <w:u w:val="none"/>
              </w:rPr>
            </w:pPr>
          </w:p>
        </w:tc>
        <w:tc>
          <w:tcPr>
            <w:tcW w:w="963" w:type="dxa"/>
            <w:vMerge w:val="restart"/>
            <w:tcBorders>
              <w:top w:val="single" w:color="000000" w:sz="4" w:space="0"/>
              <w:left w:val="single" w:color="000000" w:sz="4" w:space="0"/>
              <w:right w:val="single" w:color="000000" w:sz="4" w:space="0"/>
            </w:tcBorders>
            <w:noWrap w:val="0"/>
            <w:vAlign w:val="center"/>
          </w:tcPr>
          <w:p w14:paraId="23840454">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效益指标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3BA2DC2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社会效益指标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FAFF11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党风廉政建设社会评价满意度</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29D85BB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FB1912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0855789F">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25CC22F8">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F0DF76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2F7DBA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7968DB8">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620DB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6C0AE">
            <w:pPr>
              <w:jc w:val="center"/>
              <w:rPr>
                <w:rFonts w:hint="eastAsia" w:ascii="宋体" w:hAnsi="宋体" w:eastAsia="宋体" w:cs="宋体"/>
                <w:i w:val="0"/>
                <w:iCs w:val="0"/>
                <w:color w:val="000000"/>
                <w:sz w:val="21"/>
                <w:szCs w:val="21"/>
                <w:u w:val="none"/>
              </w:rPr>
            </w:pPr>
          </w:p>
        </w:tc>
        <w:tc>
          <w:tcPr>
            <w:tcW w:w="963" w:type="dxa"/>
            <w:vMerge w:val="continue"/>
            <w:tcBorders>
              <w:left w:val="single" w:color="000000" w:sz="4" w:space="0"/>
              <w:bottom w:val="single" w:color="000000" w:sz="4" w:space="0"/>
              <w:right w:val="single" w:color="000000" w:sz="4" w:space="0"/>
            </w:tcBorders>
            <w:noWrap w:val="0"/>
            <w:vAlign w:val="center"/>
          </w:tcPr>
          <w:p w14:paraId="361E91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4812D184">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可持续影响指标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F6375D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提升我县党风廉政建设和反腐败工作影响力</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272703D0">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定性</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65CFD63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337E67A">
            <w:pPr>
              <w:jc w:val="center"/>
              <w:rPr>
                <w:rFonts w:hint="eastAsia" w:ascii="宋体" w:hAnsi="宋体" w:eastAsia="宋体" w:cs="宋体"/>
                <w:i w:val="0"/>
                <w:iCs w:val="0"/>
                <w:color w:val="000000"/>
                <w:sz w:val="18"/>
                <w:szCs w:val="18"/>
                <w:u w:val="none"/>
                <w:lang w:val="en-US" w:eastAsia="zh-CN"/>
              </w:rPr>
            </w:pP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4C99FCC4">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31E625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7834C96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87260C2">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无</w:t>
            </w:r>
          </w:p>
        </w:tc>
      </w:tr>
      <w:tr w14:paraId="4AE62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23E5B">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374B7E4">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满意度指标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540BDE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D830F51">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人民群众满意度</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1BCDD87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55AF5A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6D3244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5AE669C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91.31</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FDED70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679E6AF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F84C5A8">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2024年民意调查得分81.44分低于全省平均水平</w:t>
            </w:r>
          </w:p>
        </w:tc>
      </w:tr>
      <w:tr w14:paraId="0810A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0295A2A2">
            <w:pPr>
              <w:jc w:val="center"/>
              <w:rPr>
                <w:rFonts w:hint="eastAsia" w:ascii="宋体" w:hAnsi="宋体" w:eastAsia="宋体" w:cs="宋体"/>
                <w:i w:val="0"/>
                <w:iCs w:val="0"/>
                <w:color w:val="000000"/>
                <w:sz w:val="21"/>
                <w:szCs w:val="21"/>
                <w:u w:val="none"/>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77D5798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成本指标</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14:paraId="0512BB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4D1F73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项目支出成本率</w:t>
            </w:r>
          </w:p>
        </w:tc>
        <w:tc>
          <w:tcPr>
            <w:tcW w:w="350" w:type="dxa"/>
            <w:tcBorders>
              <w:top w:val="single" w:color="000000" w:sz="4" w:space="0"/>
              <w:left w:val="single" w:color="000000" w:sz="4" w:space="0"/>
              <w:bottom w:val="single" w:color="000000" w:sz="4" w:space="0"/>
              <w:right w:val="single" w:color="000000" w:sz="4" w:space="0"/>
            </w:tcBorders>
            <w:noWrap w:val="0"/>
            <w:vAlign w:val="center"/>
          </w:tcPr>
          <w:p w14:paraId="4A3F95B7">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00" w:type="dxa"/>
            <w:tcBorders>
              <w:top w:val="single" w:color="000000" w:sz="4" w:space="0"/>
              <w:left w:val="single" w:color="000000" w:sz="4" w:space="0"/>
              <w:bottom w:val="single" w:color="000000" w:sz="4" w:space="0"/>
              <w:right w:val="single" w:color="000000" w:sz="4" w:space="0"/>
            </w:tcBorders>
            <w:noWrap w:val="0"/>
            <w:vAlign w:val="center"/>
          </w:tcPr>
          <w:p w14:paraId="1DAAD68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36594E1C">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14:paraId="7C96A495">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9723D79">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1F1A86D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169BD40C">
            <w:pPr>
              <w:jc w:val="center"/>
              <w:rPr>
                <w:rFonts w:hint="eastAsia" w:ascii="宋体" w:hAnsi="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4984D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12" w:type="dxa"/>
            <w:gridSpan w:val="8"/>
            <w:tcBorders>
              <w:top w:val="single" w:color="000000" w:sz="4" w:space="0"/>
              <w:left w:val="single" w:color="000000" w:sz="4" w:space="0"/>
              <w:bottom w:val="single" w:color="000000" w:sz="4" w:space="0"/>
              <w:right w:val="single" w:color="000000" w:sz="4" w:space="0"/>
            </w:tcBorders>
            <w:noWrap w:val="0"/>
            <w:vAlign w:val="center"/>
          </w:tcPr>
          <w:p w14:paraId="311B0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131CF0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14:paraId="3DEB16EA">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83344D9">
            <w:pPr>
              <w:rPr>
                <w:rFonts w:hint="eastAsia" w:ascii="宋体" w:hAnsi="宋体" w:eastAsia="宋体" w:cs="宋体"/>
                <w:i w:val="0"/>
                <w:iCs w:val="0"/>
                <w:color w:val="000000"/>
                <w:sz w:val="18"/>
                <w:szCs w:val="18"/>
                <w:u w:val="none"/>
              </w:rPr>
            </w:pPr>
          </w:p>
        </w:tc>
      </w:tr>
      <w:tr w14:paraId="0B75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3CDD49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4D91F0F9">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2024年党风廉政建设宣教及专项监督工作成效显著，通过创新宣传方式和强化专项监督，全县政治生态持续优化，为经济社会高质量发展提供了坚实的纪律保障。项目在中央及省级媒体宣传取得突破性进展，监督执纪精准有力，有效解决了群众关切问题，党员干部廉洁意识明显提升，"清廉安岳"品牌影响力显著增强，全面达成了年度绩效目标。</w:t>
            </w:r>
          </w:p>
        </w:tc>
      </w:tr>
      <w:tr w14:paraId="0E8DE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3E53B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266EE2BF">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在项目实施过程中，仍存在两方面主要问题：一是对群众急难愁盼问题的解决力度不够深入，监督机制和问题处置效率有待进一步提升；二是新媒体宣传策划系统性不足，虽然实现了在廉洁四川微信多个栏目的上稿，但对"蜀地清风"等重点栏目的专题策划和推广不够全面，未能充分发挥新媒体平台的传播优势。</w:t>
            </w:r>
          </w:p>
        </w:tc>
      </w:tr>
      <w:tr w14:paraId="26FAA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87" w:type="dxa"/>
            <w:tcBorders>
              <w:top w:val="single" w:color="000000" w:sz="4" w:space="0"/>
              <w:left w:val="single" w:color="000000" w:sz="4" w:space="0"/>
              <w:bottom w:val="single" w:color="000000" w:sz="4" w:space="0"/>
              <w:right w:val="single" w:color="000000" w:sz="4" w:space="0"/>
            </w:tcBorders>
            <w:noWrap w:val="0"/>
            <w:vAlign w:val="center"/>
          </w:tcPr>
          <w:p w14:paraId="762804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700" w:type="dxa"/>
            <w:gridSpan w:val="10"/>
            <w:tcBorders>
              <w:top w:val="single" w:color="000000" w:sz="4" w:space="0"/>
              <w:left w:val="single" w:color="000000" w:sz="4" w:space="0"/>
              <w:bottom w:val="single" w:color="000000" w:sz="4" w:space="0"/>
              <w:right w:val="single" w:color="000000" w:sz="4" w:space="0"/>
            </w:tcBorders>
            <w:noWrap w:val="0"/>
            <w:vAlign w:val="center"/>
          </w:tcPr>
          <w:p w14:paraId="7B83FB8F">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一是强化政治监督实效，聚焦殡葬、乡村振兴资金、医保等重点领域专项整治，完善群众诉求响应机制，切实解决急难愁盼问题。二是提升宣传策划水平，通过定期学习优秀选题案例、召开外宣小组选题会等方式，优化新闻选题质量；同时创新新媒体产品形式，针对"蜀地清风"等栏目加强漫画、视频等可视化内容创作，增强传播影响力。</w:t>
            </w:r>
          </w:p>
        </w:tc>
      </w:tr>
      <w:tr w14:paraId="7226B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4937" w:type="dxa"/>
            <w:gridSpan w:val="5"/>
            <w:tcBorders>
              <w:top w:val="single" w:color="000000" w:sz="4" w:space="0"/>
              <w:left w:val="single" w:color="000000" w:sz="4" w:space="0"/>
              <w:bottom w:val="single" w:color="000000" w:sz="4" w:space="0"/>
              <w:right w:val="single" w:color="000000" w:sz="4" w:space="0"/>
            </w:tcBorders>
            <w:noWrap w:val="0"/>
            <w:vAlign w:val="center"/>
          </w:tcPr>
          <w:p w14:paraId="586758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4450" w:type="dxa"/>
            <w:gridSpan w:val="6"/>
            <w:tcBorders>
              <w:top w:val="single" w:color="000000" w:sz="4" w:space="0"/>
              <w:left w:val="single" w:color="000000" w:sz="4" w:space="0"/>
              <w:bottom w:val="single" w:color="000000" w:sz="4" w:space="0"/>
              <w:right w:val="single" w:color="000000" w:sz="4" w:space="0"/>
            </w:tcBorders>
            <w:noWrap w:val="0"/>
            <w:vAlign w:val="center"/>
          </w:tcPr>
          <w:p w14:paraId="165A24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70368647">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方正黑体简体" w:cs="方正黑体简体"/>
          <w:i w:val="0"/>
          <w:color w:val="000000"/>
          <w:kern w:val="0"/>
          <w:sz w:val="32"/>
          <w:szCs w:val="32"/>
          <w:u w:val="none"/>
          <w:lang w:val="en-US" w:eastAsia="zh-CN" w:bidi="ar"/>
        </w:rPr>
      </w:pPr>
      <w:bookmarkStart w:id="86" w:name="_Toc15396618"/>
      <w:r>
        <w:rPr>
          <w:rFonts w:hint="eastAsia" w:ascii="宋体" w:hAnsi="宋体" w:eastAsia="方正黑体简体" w:cs="方正黑体简体"/>
          <w:i w:val="0"/>
          <w:color w:val="000000"/>
          <w:kern w:val="0"/>
          <w:sz w:val="32"/>
          <w:szCs w:val="32"/>
          <w:u w:val="none"/>
          <w:lang w:val="en-US" w:eastAsia="zh-CN" w:bidi="ar"/>
        </w:rPr>
        <w:t>安岳县2024年度预算项目支出绩效自评表</w:t>
      </w:r>
    </w:p>
    <w:tbl>
      <w:tblPr>
        <w:tblStyle w:val="1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2"/>
        <w:gridCol w:w="921"/>
        <w:gridCol w:w="911"/>
        <w:gridCol w:w="801"/>
        <w:gridCol w:w="480"/>
        <w:gridCol w:w="527"/>
        <w:gridCol w:w="413"/>
        <w:gridCol w:w="699"/>
        <w:gridCol w:w="562"/>
        <w:gridCol w:w="550"/>
        <w:gridCol w:w="2311"/>
      </w:tblGrid>
      <w:tr w14:paraId="76ADE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6A406A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54" w:type="dxa"/>
            <w:gridSpan w:val="9"/>
            <w:tcBorders>
              <w:top w:val="single" w:color="000000" w:sz="4" w:space="0"/>
              <w:left w:val="single" w:color="000000" w:sz="4" w:space="0"/>
              <w:bottom w:val="single" w:color="000000" w:sz="4" w:space="0"/>
              <w:right w:val="single" w:color="000000" w:sz="4" w:space="0"/>
            </w:tcBorders>
            <w:noWrap w:val="0"/>
            <w:vAlign w:val="center"/>
          </w:tcPr>
          <w:p w14:paraId="73DF1D51">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51202122T000000247119-临时聘用人员经费</w:t>
            </w:r>
          </w:p>
        </w:tc>
      </w:tr>
      <w:tr w14:paraId="41A7C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154A93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1A46A422">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699" w:type="dxa"/>
            <w:tcBorders>
              <w:top w:val="nil"/>
              <w:left w:val="nil"/>
              <w:bottom w:val="nil"/>
              <w:right w:val="nil"/>
            </w:tcBorders>
            <w:noWrap w:val="0"/>
            <w:vAlign w:val="center"/>
          </w:tcPr>
          <w:p w14:paraId="0EE632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 （盖章）</w:t>
            </w:r>
          </w:p>
        </w:tc>
        <w:tc>
          <w:tcPr>
            <w:tcW w:w="3423" w:type="dxa"/>
            <w:gridSpan w:val="3"/>
            <w:tcBorders>
              <w:top w:val="single" w:color="000000" w:sz="4" w:space="0"/>
              <w:left w:val="single" w:color="000000" w:sz="4" w:space="0"/>
              <w:bottom w:val="single" w:color="000000" w:sz="4" w:space="0"/>
              <w:right w:val="single" w:color="000000" w:sz="4" w:space="0"/>
            </w:tcBorders>
            <w:noWrap w:val="0"/>
            <w:vAlign w:val="center"/>
          </w:tcPr>
          <w:p w14:paraId="31E4EA4E">
            <w:pPr>
              <w:tabs>
                <w:tab w:val="left" w:pos="498"/>
              </w:tabs>
              <w:jc w:val="left"/>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中国共产党安岳县纪律检查委员会</w:t>
            </w:r>
          </w:p>
        </w:tc>
      </w:tr>
      <w:tr w14:paraId="486A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699946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FB95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35B13D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4122" w:type="dxa"/>
            <w:gridSpan w:val="4"/>
            <w:tcBorders>
              <w:top w:val="single" w:color="000000" w:sz="4" w:space="0"/>
              <w:left w:val="single" w:color="000000" w:sz="4" w:space="0"/>
              <w:bottom w:val="single" w:color="000000" w:sz="4" w:space="0"/>
              <w:right w:val="single" w:color="000000" w:sz="4" w:space="0"/>
            </w:tcBorders>
            <w:noWrap w:val="0"/>
            <w:vAlign w:val="center"/>
          </w:tcPr>
          <w:p w14:paraId="7FFE75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5B7CC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5F886F">
            <w:pP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F612DF">
            <w:pPr>
              <w:rPr>
                <w:rFonts w:hint="eastAsia" w:ascii="宋体" w:hAnsi="宋体" w:eastAsia="宋体" w:cs="宋体"/>
                <w:i w:val="0"/>
                <w:iCs w:val="0"/>
                <w:color w:val="000000"/>
                <w:sz w:val="21"/>
                <w:szCs w:val="21"/>
                <w:u w:val="none"/>
              </w:rPr>
            </w:pPr>
          </w:p>
        </w:tc>
        <w:tc>
          <w:tcPr>
            <w:tcW w:w="3132" w:type="dxa"/>
            <w:gridSpan w:val="5"/>
            <w:tcBorders>
              <w:top w:val="single" w:color="000000" w:sz="4" w:space="0"/>
              <w:left w:val="single" w:color="000000" w:sz="4" w:space="0"/>
              <w:bottom w:val="single" w:color="000000" w:sz="4" w:space="0"/>
              <w:right w:val="single" w:color="000000" w:sz="4" w:space="0"/>
            </w:tcBorders>
            <w:noWrap w:val="0"/>
            <w:vAlign w:val="center"/>
          </w:tcPr>
          <w:p w14:paraId="031BAE4F">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通过劳务派遣，后勤服务得到保障，确保监督执纪和纪律检查、巡察等工作正常开展。</w:t>
            </w:r>
          </w:p>
        </w:tc>
        <w:tc>
          <w:tcPr>
            <w:tcW w:w="4122" w:type="dxa"/>
            <w:gridSpan w:val="4"/>
            <w:tcBorders>
              <w:top w:val="single" w:color="000000" w:sz="4" w:space="0"/>
              <w:left w:val="single" w:color="000000" w:sz="4" w:space="0"/>
              <w:bottom w:val="single" w:color="000000" w:sz="4" w:space="0"/>
              <w:right w:val="single" w:color="000000" w:sz="4" w:space="0"/>
            </w:tcBorders>
            <w:noWrap w:val="0"/>
            <w:vAlign w:val="center"/>
          </w:tcPr>
          <w:p w14:paraId="6298CF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通过临时聘用人员经费保障，委机关后勤保障得到持续加强。</w:t>
            </w:r>
          </w:p>
        </w:tc>
      </w:tr>
      <w:tr w14:paraId="5D30A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8F427D">
            <w:pP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95CA3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254" w:type="dxa"/>
            <w:gridSpan w:val="9"/>
            <w:tcBorders>
              <w:top w:val="single" w:color="000000" w:sz="4" w:space="0"/>
              <w:left w:val="single" w:color="000000" w:sz="4" w:space="0"/>
              <w:bottom w:val="single" w:color="000000" w:sz="4" w:space="0"/>
              <w:right w:val="single" w:color="000000" w:sz="4" w:space="0"/>
            </w:tcBorders>
            <w:noWrap w:val="0"/>
            <w:vAlign w:val="center"/>
          </w:tcPr>
          <w:p w14:paraId="00DA8FCA">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通过临时聘用人员经费保障，</w:t>
            </w:r>
            <w:r>
              <w:rPr>
                <w:rFonts w:hint="eastAsia" w:ascii="宋体" w:hAnsi="宋体" w:eastAsia="宋体" w:cs="宋体"/>
                <w:i w:val="0"/>
                <w:iCs w:val="0"/>
                <w:color w:val="000000"/>
                <w:sz w:val="21"/>
                <w:szCs w:val="21"/>
                <w:u w:val="none"/>
                <w:lang w:val="en-US" w:eastAsia="zh-CN"/>
              </w:rPr>
              <w:t>确保办公运转顺利开展</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保障案件办理、</w:t>
            </w:r>
            <w:r>
              <w:rPr>
                <w:rFonts w:hint="eastAsia" w:ascii="宋体" w:hAnsi="宋体" w:eastAsia="宋体" w:cs="宋体"/>
                <w:i w:val="0"/>
                <w:iCs w:val="0"/>
                <w:color w:val="000000"/>
                <w:sz w:val="21"/>
                <w:szCs w:val="21"/>
                <w:u w:val="none"/>
              </w:rPr>
              <w:t>监督执纪</w:t>
            </w:r>
            <w:r>
              <w:rPr>
                <w:rFonts w:hint="eastAsia" w:ascii="宋体" w:hAnsi="宋体" w:eastAsia="宋体" w:cs="宋体"/>
                <w:i w:val="0"/>
                <w:iCs w:val="0"/>
                <w:color w:val="000000"/>
                <w:sz w:val="21"/>
                <w:szCs w:val="21"/>
                <w:u w:val="none"/>
                <w:lang w:val="en-US" w:eastAsia="zh-CN"/>
              </w:rPr>
              <w:t>和</w:t>
            </w:r>
            <w:r>
              <w:rPr>
                <w:rFonts w:hint="eastAsia" w:ascii="宋体" w:hAnsi="宋体" w:eastAsia="宋体" w:cs="宋体"/>
                <w:i w:val="0"/>
                <w:iCs w:val="0"/>
                <w:color w:val="000000"/>
                <w:sz w:val="21"/>
                <w:szCs w:val="21"/>
                <w:u w:val="none"/>
              </w:rPr>
              <w:t>巡察等工作正常开展。</w:t>
            </w:r>
          </w:p>
        </w:tc>
      </w:tr>
      <w:tr w14:paraId="2C3C0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7797C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预算执行情况（10分）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1502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62F8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69571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56BC18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58516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48872E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49CCA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6C5890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0856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1CAD53">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10D8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38F15C64">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13AC638">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15.85</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7D84C74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15.85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A16BE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762742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5FE51F15">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3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5A2AC8">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r>
      <w:tr w14:paraId="1D83A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E32C4D">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98431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DF48F4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138A3B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15.85</w:t>
            </w: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24C6848A">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15.85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07B27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3426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F9E8F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EEA55">
            <w:pPr>
              <w:rPr>
                <w:rFonts w:hint="eastAsia" w:ascii="宋体" w:hAnsi="宋体" w:eastAsia="宋体" w:cs="宋体"/>
                <w:i/>
                <w:iCs/>
                <w:color w:val="000000"/>
                <w:sz w:val="21"/>
                <w:szCs w:val="21"/>
                <w:u w:val="none"/>
              </w:rPr>
            </w:pPr>
          </w:p>
        </w:tc>
      </w:tr>
      <w:tr w14:paraId="70BC7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759F8">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A7D2E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72BE8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13337A5">
            <w:pPr>
              <w:jc w:val="center"/>
              <w:rPr>
                <w:rFonts w:hint="eastAsia" w:ascii="宋体" w:hAnsi="宋体" w:eastAsia="宋体" w:cs="宋体"/>
                <w:i w:val="0"/>
                <w:iCs w:val="0"/>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2DF14736">
            <w:pPr>
              <w:jc w:val="center"/>
              <w:rPr>
                <w:rFonts w:hint="eastAsia" w:ascii="宋体" w:hAnsi="宋体" w:eastAsia="宋体" w:cs="宋体"/>
                <w:i w:val="0"/>
                <w:iCs w:val="0"/>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7C198A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36E5BC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96E7C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02E51A">
            <w:pPr>
              <w:rPr>
                <w:rFonts w:hint="eastAsia" w:ascii="宋体" w:hAnsi="宋体" w:eastAsia="宋体" w:cs="宋体"/>
                <w:i/>
                <w:iCs/>
                <w:color w:val="000000"/>
                <w:sz w:val="21"/>
                <w:szCs w:val="21"/>
                <w:u w:val="none"/>
              </w:rPr>
            </w:pPr>
          </w:p>
        </w:tc>
      </w:tr>
      <w:tr w14:paraId="122FD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9B155">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60D066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3E262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4D9B39B">
            <w:pPr>
              <w:jc w:val="center"/>
              <w:rPr>
                <w:rFonts w:hint="eastAsia" w:ascii="宋体" w:hAnsi="宋体" w:eastAsia="宋体" w:cs="宋体"/>
                <w:i w:val="0"/>
                <w:iCs w:val="0"/>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4ACC31CE">
            <w:pPr>
              <w:jc w:val="center"/>
              <w:rPr>
                <w:rFonts w:hint="eastAsia" w:ascii="宋体" w:hAnsi="宋体" w:eastAsia="宋体" w:cs="宋体"/>
                <w:i w:val="0"/>
                <w:iCs w:val="0"/>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231759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10E0D5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84CE4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9D831">
            <w:pPr>
              <w:rPr>
                <w:rFonts w:hint="eastAsia" w:ascii="宋体" w:hAnsi="宋体" w:eastAsia="宋体" w:cs="宋体"/>
                <w:i/>
                <w:iCs/>
                <w:color w:val="000000"/>
                <w:sz w:val="21"/>
                <w:szCs w:val="21"/>
                <w:u w:val="none"/>
              </w:rPr>
            </w:pPr>
          </w:p>
        </w:tc>
      </w:tr>
      <w:tr w14:paraId="2340E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50E8E">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477BBB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41B2BA59">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0EE09CF">
            <w:pPr>
              <w:jc w:val="center"/>
              <w:rPr>
                <w:rFonts w:hint="eastAsia" w:ascii="宋体" w:hAnsi="宋体" w:eastAsia="宋体" w:cs="宋体"/>
                <w:i/>
                <w:iCs/>
                <w:color w:val="000000"/>
                <w:sz w:val="21"/>
                <w:szCs w:val="21"/>
                <w:u w:val="none"/>
              </w:rPr>
            </w:pPr>
          </w:p>
        </w:tc>
        <w:tc>
          <w:tcPr>
            <w:tcW w:w="1420" w:type="dxa"/>
            <w:gridSpan w:val="3"/>
            <w:tcBorders>
              <w:top w:val="single" w:color="000000" w:sz="4" w:space="0"/>
              <w:left w:val="single" w:color="000000" w:sz="4" w:space="0"/>
              <w:bottom w:val="single" w:color="000000" w:sz="4" w:space="0"/>
              <w:right w:val="single" w:color="000000" w:sz="4" w:space="0"/>
            </w:tcBorders>
            <w:noWrap w:val="0"/>
            <w:vAlign w:val="center"/>
          </w:tcPr>
          <w:p w14:paraId="76868D95">
            <w:pPr>
              <w:jc w:val="center"/>
              <w:rPr>
                <w:rFonts w:hint="eastAsia" w:ascii="宋体" w:hAnsi="宋体" w:eastAsia="宋体" w:cs="宋体"/>
                <w:i/>
                <w:iCs/>
                <w:color w:val="000000"/>
                <w:sz w:val="21"/>
                <w:szCs w:val="21"/>
                <w:u w:val="none"/>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CCCA513">
            <w:pPr>
              <w:keepNext w:val="0"/>
              <w:keepLines w:val="0"/>
              <w:widowControl/>
              <w:suppressLineNumbers w:val="0"/>
              <w:jc w:val="center"/>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34EFF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53BB4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3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7A4E7">
            <w:pPr>
              <w:rPr>
                <w:rFonts w:hint="eastAsia" w:ascii="宋体" w:hAnsi="宋体" w:eastAsia="宋体" w:cs="宋体"/>
                <w:i/>
                <w:iCs/>
                <w:color w:val="000000"/>
                <w:sz w:val="21"/>
                <w:szCs w:val="21"/>
                <w:u w:val="none"/>
              </w:rPr>
            </w:pPr>
          </w:p>
        </w:tc>
      </w:tr>
      <w:tr w14:paraId="07DAE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2DE5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绩效指标（90分）</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6ABC9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一级指标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669D4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二级指标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12560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三级指标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3C0E3F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指标性质</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3481C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指标值</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6CB490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度量单位</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44B6C9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完成值</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6AC0B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权重</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F8C65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得分</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228C5A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ascii="宋体" w:hAnsi="宋体" w:eastAsia="宋体" w:cs="宋体"/>
                <w:i w:val="0"/>
                <w:iCs w:val="0"/>
                <w:color w:val="000000"/>
                <w:kern w:val="0"/>
                <w:sz w:val="18"/>
                <w:szCs w:val="18"/>
                <w:u w:val="none"/>
                <w:lang w:val="en-US" w:eastAsia="zh-CN" w:bidi="ar"/>
              </w:rPr>
              <w:t>未完成原因分析</w:t>
            </w:r>
          </w:p>
        </w:tc>
      </w:tr>
      <w:tr w14:paraId="1E8B5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83F3B3">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2AE3E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F0B6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AA3A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聘用人员经费补助标准</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F05B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1E9F71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754DF1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8AB9F5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6066F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2348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1BC2CF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10F4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CF1FE9">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7515B6">
            <w:pPr>
              <w:jc w:val="center"/>
              <w:rPr>
                <w:rFonts w:hint="eastAsia" w:ascii="宋体" w:hAnsi="宋体" w:eastAsia="宋体" w:cs="宋体"/>
                <w:i w:val="0"/>
                <w:iCs w:val="0"/>
                <w:color w:val="000000"/>
                <w:sz w:val="18"/>
                <w:szCs w:val="18"/>
                <w:u w:val="none"/>
              </w:rPr>
            </w:pPr>
          </w:p>
        </w:tc>
        <w:tc>
          <w:tcPr>
            <w:tcW w:w="9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A1FF2">
            <w:pPr>
              <w:jc w:val="center"/>
              <w:rPr>
                <w:rFonts w:hint="eastAsia" w:ascii="宋体" w:hAnsi="宋体" w:eastAsia="宋体" w:cs="宋体"/>
                <w:i w:val="0"/>
                <w:iCs w:val="0"/>
                <w:color w:val="000000"/>
                <w:sz w:val="18"/>
                <w:szCs w:val="18"/>
                <w:u w:val="none"/>
              </w:rPr>
            </w:pP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1526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聘用人员个数</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40F1F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66CD5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396AD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0A0AEC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334B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4899E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3322760">
            <w:pPr>
              <w:jc w:val="center"/>
              <w:rPr>
                <w:rFonts w:hint="eastAsia" w:ascii="宋体" w:hAnsi="宋体" w:eastAsia="宋体" w:cs="宋体"/>
                <w:i/>
                <w:iCs/>
                <w:color w:val="000000"/>
                <w:sz w:val="18"/>
                <w:szCs w:val="18"/>
                <w:u w:val="none"/>
                <w:lang w:val="en-US" w:eastAsia="zh-CN"/>
              </w:rPr>
            </w:pPr>
            <w:r>
              <w:rPr>
                <w:rFonts w:hint="eastAsia" w:ascii="宋体" w:hAnsi="宋体" w:eastAsia="宋体" w:cs="宋体"/>
                <w:i/>
                <w:iCs/>
                <w:color w:val="000000"/>
                <w:sz w:val="18"/>
                <w:szCs w:val="18"/>
                <w:u w:val="none"/>
                <w:lang w:val="en-US" w:eastAsia="zh-CN"/>
              </w:rPr>
              <w:t>无</w:t>
            </w:r>
          </w:p>
        </w:tc>
      </w:tr>
      <w:tr w14:paraId="198FD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6D878C">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B5D69">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52453979">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质量指标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420FE29">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驾驶技术达标率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25FC7D68">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26FBAF04">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100</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28E58E19">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B27AC8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18F2A2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1679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4A63B108">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33BBA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E1157">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F160D0">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3EBA02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时效指标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2CFB7A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完成时间</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12FF641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02EEC456">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2373B7B7">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年</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406768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786D392D">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34AB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1A0A54DE">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5E74C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30658">
            <w:pPr>
              <w:jc w:val="center"/>
              <w:rPr>
                <w:rFonts w:hint="eastAsia" w:ascii="宋体" w:hAnsi="宋体" w:eastAsia="宋体" w:cs="宋体"/>
                <w:i w:val="0"/>
                <w:iCs w:val="0"/>
                <w:color w:val="000000"/>
                <w:sz w:val="21"/>
                <w:szCs w:val="21"/>
                <w:u w:val="none"/>
              </w:rPr>
            </w:pPr>
          </w:p>
        </w:tc>
        <w:tc>
          <w:tcPr>
            <w:tcW w:w="92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313234">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效益指标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64E4020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经济效益指标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40C64C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聘用人员经费保障及时率</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5CC56AA3">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69E9B81F">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60B141C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3E6051C8">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5EE9C25F">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14</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4EFB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F938D0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5C517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05BD90">
            <w:pPr>
              <w:jc w:val="center"/>
              <w:rPr>
                <w:rFonts w:hint="eastAsia" w:ascii="宋体" w:hAnsi="宋体" w:eastAsia="宋体" w:cs="宋体"/>
                <w:i w:val="0"/>
                <w:iCs w:val="0"/>
                <w:color w:val="000000"/>
                <w:sz w:val="21"/>
                <w:szCs w:val="21"/>
                <w:u w:val="none"/>
              </w:rPr>
            </w:pPr>
          </w:p>
        </w:tc>
        <w:tc>
          <w:tcPr>
            <w:tcW w:w="9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DFC0B6">
            <w:pPr>
              <w:jc w:val="center"/>
              <w:rPr>
                <w:rFonts w:ascii="宋体" w:hAnsi="宋体"/>
                <w:sz w:val="18"/>
                <w:szCs w:val="18"/>
              </w:rPr>
            </w:pP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08E0DE20">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可持续影响指标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C71469D">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后勤保障持续加强</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780485A1">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定性</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0BB60AE0">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好</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45A4F48A">
            <w:pPr>
              <w:jc w:val="center"/>
              <w:rPr>
                <w:rFonts w:ascii="宋体" w:hAnsi="宋体" w:eastAsia="宋体" w:cs="宋体"/>
                <w:i w:val="0"/>
                <w:iCs w:val="0"/>
                <w:color w:val="000000"/>
                <w:kern w:val="0"/>
                <w:sz w:val="18"/>
                <w:szCs w:val="18"/>
                <w:u w:val="none"/>
                <w:lang w:val="en-US" w:eastAsia="zh-CN" w:bidi="ar"/>
              </w:rPr>
            </w:pP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54D18E5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好</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3232BFD3">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C513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632CE5D">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17847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EFC4D6">
            <w:pPr>
              <w:jc w:val="center"/>
              <w:rPr>
                <w:rFonts w:hint="eastAsia" w:ascii="宋体" w:hAnsi="宋体" w:eastAsia="宋体" w:cs="宋体"/>
                <w:i w:val="0"/>
                <w:iCs w:val="0"/>
                <w:color w:val="000000"/>
                <w:sz w:val="21"/>
                <w:szCs w:val="21"/>
                <w:u w:val="none"/>
              </w:rPr>
            </w:pP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A4CFDB5">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满意度指标</w:t>
            </w:r>
          </w:p>
        </w:tc>
        <w:tc>
          <w:tcPr>
            <w:tcW w:w="911" w:type="dxa"/>
            <w:tcBorders>
              <w:top w:val="single" w:color="000000" w:sz="4" w:space="0"/>
              <w:left w:val="single" w:color="000000" w:sz="4" w:space="0"/>
              <w:bottom w:val="single" w:color="000000" w:sz="4" w:space="0"/>
              <w:right w:val="single" w:color="000000" w:sz="4" w:space="0"/>
            </w:tcBorders>
            <w:noWrap w:val="0"/>
            <w:vAlign w:val="center"/>
          </w:tcPr>
          <w:p w14:paraId="7B372976">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服务对象满意度指标</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4D1CF11">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单位及职工满意度</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14:paraId="05694B93">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27" w:type="dxa"/>
            <w:tcBorders>
              <w:top w:val="single" w:color="000000" w:sz="4" w:space="0"/>
              <w:left w:val="single" w:color="000000" w:sz="4" w:space="0"/>
              <w:bottom w:val="single" w:color="000000" w:sz="4" w:space="0"/>
              <w:right w:val="single" w:color="000000" w:sz="4" w:space="0"/>
            </w:tcBorders>
            <w:noWrap w:val="0"/>
            <w:vAlign w:val="center"/>
          </w:tcPr>
          <w:p w14:paraId="08B109E2">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96</w:t>
            </w:r>
          </w:p>
        </w:tc>
        <w:tc>
          <w:tcPr>
            <w:tcW w:w="413" w:type="dxa"/>
            <w:tcBorders>
              <w:top w:val="single" w:color="000000" w:sz="4" w:space="0"/>
              <w:left w:val="single" w:color="000000" w:sz="4" w:space="0"/>
              <w:bottom w:val="single" w:color="000000" w:sz="4" w:space="0"/>
              <w:right w:val="single" w:color="000000" w:sz="4" w:space="0"/>
            </w:tcBorders>
            <w:noWrap w:val="0"/>
            <w:vAlign w:val="center"/>
          </w:tcPr>
          <w:p w14:paraId="57FBCD12">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14:paraId="194A82A2">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0811C366">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947B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0C2C1D2">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14:paraId="34A7A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5544" w:type="dxa"/>
            <w:gridSpan w:val="8"/>
            <w:tcBorders>
              <w:top w:val="single" w:color="000000" w:sz="4" w:space="0"/>
              <w:left w:val="single" w:color="000000" w:sz="4" w:space="0"/>
              <w:bottom w:val="single" w:color="000000" w:sz="4" w:space="0"/>
              <w:right w:val="single" w:color="000000" w:sz="4" w:space="0"/>
            </w:tcBorders>
            <w:noWrap w:val="0"/>
            <w:vAlign w:val="center"/>
          </w:tcPr>
          <w:p w14:paraId="1FDC7D16">
            <w:pPr>
              <w:keepNext w:val="0"/>
              <w:keepLines w:val="0"/>
              <w:widowControl/>
              <w:suppressLineNumbers w:val="0"/>
              <w:jc w:val="center"/>
              <w:textAlignment w:val="center"/>
              <w:rPr>
                <w:rFonts w:ascii="宋体" w:hAnsi="宋体"/>
                <w:sz w:val="18"/>
                <w:szCs w:val="18"/>
              </w:rPr>
            </w:pPr>
            <w:r>
              <w:rPr>
                <w:rFonts w:ascii="宋体" w:hAnsi="宋体" w:eastAsia="宋体" w:cs="宋体"/>
                <w:i w:val="0"/>
                <w:iCs w:val="0"/>
                <w:color w:val="000000"/>
                <w:kern w:val="0"/>
                <w:sz w:val="18"/>
                <w:szCs w:val="18"/>
                <w:u w:val="none"/>
                <w:lang w:val="en-US" w:eastAsia="zh-CN" w:bidi="ar"/>
              </w:rPr>
              <w:t>合计</w:t>
            </w:r>
          </w:p>
        </w:tc>
        <w:tc>
          <w:tcPr>
            <w:tcW w:w="562" w:type="dxa"/>
            <w:tcBorders>
              <w:top w:val="single" w:color="000000" w:sz="4" w:space="0"/>
              <w:left w:val="single" w:color="000000" w:sz="4" w:space="0"/>
              <w:bottom w:val="single" w:color="000000" w:sz="4" w:space="0"/>
              <w:right w:val="single" w:color="000000" w:sz="4" w:space="0"/>
            </w:tcBorders>
            <w:noWrap w:val="0"/>
            <w:vAlign w:val="center"/>
          </w:tcPr>
          <w:p w14:paraId="50F39BE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D23479E">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15DD258F">
            <w:pPr>
              <w:rPr>
                <w:rFonts w:hint="eastAsia" w:ascii="宋体" w:hAnsi="宋体" w:eastAsia="宋体" w:cs="宋体"/>
                <w:i w:val="0"/>
                <w:iCs w:val="0"/>
                <w:color w:val="000000"/>
                <w:sz w:val="18"/>
                <w:szCs w:val="18"/>
                <w:u w:val="none"/>
              </w:rPr>
            </w:pPr>
          </w:p>
        </w:tc>
      </w:tr>
      <w:tr w14:paraId="73D36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9146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7B170E3B">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rPr>
              <w:t>通过</w:t>
            </w:r>
            <w:r>
              <w:rPr>
                <w:rFonts w:hint="eastAsia" w:ascii="宋体" w:hAnsi="宋体" w:eastAsia="宋体" w:cs="宋体"/>
                <w:i w:val="0"/>
                <w:iCs w:val="0"/>
                <w:color w:val="000000"/>
                <w:sz w:val="21"/>
                <w:szCs w:val="21"/>
                <w:u w:val="none"/>
                <w:lang w:val="en-US" w:eastAsia="zh-CN"/>
              </w:rPr>
              <w:t>劳务派遣的方式临时聘用5名临时工作人员，确保办公运转顺利开展</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节约办公开支，保障案件办理、</w:t>
            </w:r>
            <w:r>
              <w:rPr>
                <w:rFonts w:hint="eastAsia" w:ascii="宋体" w:hAnsi="宋体" w:eastAsia="宋体" w:cs="宋体"/>
                <w:i w:val="0"/>
                <w:iCs w:val="0"/>
                <w:color w:val="000000"/>
                <w:sz w:val="21"/>
                <w:szCs w:val="21"/>
                <w:u w:val="none"/>
              </w:rPr>
              <w:t>监督执纪</w:t>
            </w:r>
            <w:r>
              <w:rPr>
                <w:rFonts w:hint="eastAsia" w:ascii="宋体" w:hAnsi="宋体" w:eastAsia="宋体" w:cs="宋体"/>
                <w:i w:val="0"/>
                <w:iCs w:val="0"/>
                <w:color w:val="000000"/>
                <w:sz w:val="21"/>
                <w:szCs w:val="21"/>
                <w:u w:val="none"/>
                <w:lang w:val="en-US" w:eastAsia="zh-CN"/>
              </w:rPr>
              <w:t>和</w:t>
            </w:r>
            <w:r>
              <w:rPr>
                <w:rFonts w:hint="eastAsia" w:ascii="宋体" w:hAnsi="宋体" w:eastAsia="宋体" w:cs="宋体"/>
                <w:i w:val="0"/>
                <w:iCs w:val="0"/>
                <w:color w:val="000000"/>
                <w:sz w:val="21"/>
                <w:szCs w:val="21"/>
                <w:u w:val="none"/>
              </w:rPr>
              <w:t>巡察等工作正常开展。</w:t>
            </w:r>
          </w:p>
        </w:tc>
      </w:tr>
      <w:tr w14:paraId="73984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0DF6EC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存在问题</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7F4266CA">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因我单位公车属执法执勤车，使用频率较高，故临聘驾驶员虽然能节约租车费用，达到节约单位总体用车开支的目的，但公车运行维护费指标却较为紧张，公车运转压力较大。</w:t>
            </w:r>
          </w:p>
        </w:tc>
      </w:tr>
      <w:tr w14:paraId="1E4B9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3C4FB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175" w:type="dxa"/>
            <w:gridSpan w:val="10"/>
            <w:tcBorders>
              <w:top w:val="single" w:color="000000" w:sz="4" w:space="0"/>
              <w:left w:val="single" w:color="000000" w:sz="4" w:space="0"/>
              <w:bottom w:val="single" w:color="000000" w:sz="4" w:space="0"/>
              <w:right w:val="single" w:color="000000" w:sz="4" w:space="0"/>
            </w:tcBorders>
            <w:noWrap w:val="0"/>
            <w:vAlign w:val="center"/>
          </w:tcPr>
          <w:p w14:paraId="4A5BC553">
            <w:pPr>
              <w:keepNext w:val="0"/>
              <w:keepLines w:val="0"/>
              <w:widowControl/>
              <w:suppressLineNumbers w:val="0"/>
              <w:jc w:val="left"/>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建议财政系统根据各单位公车类型及使用频率等实际情况制定公车运行维护费定额标准，确保单位公务用车顺利运转。</w:t>
            </w:r>
          </w:p>
        </w:tc>
      </w:tr>
      <w:tr w14:paraId="1B36E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3905" w:type="dxa"/>
            <w:gridSpan w:val="5"/>
            <w:tcBorders>
              <w:top w:val="single" w:color="000000" w:sz="4" w:space="0"/>
              <w:left w:val="single" w:color="000000" w:sz="4" w:space="0"/>
              <w:bottom w:val="single" w:color="000000" w:sz="4" w:space="0"/>
              <w:right w:val="single" w:color="000000" w:sz="4" w:space="0"/>
            </w:tcBorders>
            <w:noWrap w:val="0"/>
            <w:vAlign w:val="center"/>
          </w:tcPr>
          <w:p w14:paraId="0B1567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5062" w:type="dxa"/>
            <w:gridSpan w:val="6"/>
            <w:tcBorders>
              <w:top w:val="single" w:color="000000" w:sz="4" w:space="0"/>
              <w:left w:val="single" w:color="000000" w:sz="4" w:space="0"/>
              <w:bottom w:val="single" w:color="000000" w:sz="4" w:space="0"/>
              <w:right w:val="single" w:color="000000" w:sz="4" w:space="0"/>
            </w:tcBorders>
            <w:noWrap w:val="0"/>
            <w:vAlign w:val="center"/>
          </w:tcPr>
          <w:p w14:paraId="032870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60AFB239">
      <w:pPr>
        <w:spacing w:line="240" w:lineRule="auto"/>
        <w:rPr>
          <w:rFonts w:hint="eastAsia" w:ascii="宋体" w:hAnsi="宋体" w:eastAsia="方正仿宋_GBK" w:cs="Times New Roman"/>
        </w:rPr>
      </w:pPr>
    </w:p>
    <w:p w14:paraId="4AD5CF9E">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仿宋_GB2312"/>
          <w:sz w:val="32"/>
          <w:szCs w:val="32"/>
        </w:rPr>
      </w:pPr>
    </w:p>
    <w:p w14:paraId="52765DD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eastAsia" w:ascii="宋体" w:hAnsi="宋体" w:eastAsia="方正黑体简体" w:cs="方正黑体简体"/>
          <w:i w:val="0"/>
          <w:color w:val="000000"/>
          <w:kern w:val="0"/>
          <w:sz w:val="32"/>
          <w:szCs w:val="32"/>
          <w:u w:val="none"/>
          <w:lang w:val="en-US" w:eastAsia="zh-CN" w:bidi="ar"/>
        </w:rPr>
      </w:pPr>
      <w:r>
        <w:rPr>
          <w:rFonts w:hint="eastAsia" w:ascii="宋体" w:hAnsi="宋体" w:eastAsia="方正小标宋_GBK" w:cs="方正小标宋_GBK"/>
          <w:i w:val="0"/>
          <w:color w:val="000000"/>
          <w:kern w:val="0"/>
          <w:sz w:val="44"/>
          <w:szCs w:val="44"/>
          <w:u w:val="none"/>
          <w:lang w:val="en-US" w:eastAsia="zh-CN" w:bidi="ar"/>
        </w:rPr>
        <w:br w:type="page"/>
      </w:r>
      <w:r>
        <w:rPr>
          <w:rFonts w:hint="eastAsia" w:ascii="宋体" w:hAnsi="宋体" w:eastAsia="方正黑体简体" w:cs="方正黑体简体"/>
          <w:i w:val="0"/>
          <w:color w:val="000000"/>
          <w:kern w:val="0"/>
          <w:sz w:val="32"/>
          <w:szCs w:val="32"/>
          <w:u w:val="none"/>
          <w:lang w:val="en-US" w:eastAsia="zh-CN" w:bidi="ar"/>
        </w:rPr>
        <w:t>安岳县2024年度预算项目支出绩效自评表</w:t>
      </w:r>
    </w:p>
    <w:tbl>
      <w:tblPr>
        <w:tblStyle w:val="16"/>
        <w:tblW w:w="9050" w:type="dxa"/>
        <w:tblInd w:w="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0"/>
        <w:gridCol w:w="1175"/>
        <w:gridCol w:w="788"/>
        <w:gridCol w:w="1361"/>
        <w:gridCol w:w="664"/>
        <w:gridCol w:w="487"/>
        <w:gridCol w:w="475"/>
        <w:gridCol w:w="800"/>
        <w:gridCol w:w="500"/>
        <w:gridCol w:w="525"/>
        <w:gridCol w:w="1625"/>
      </w:tblGrid>
      <w:tr w14:paraId="4A011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33298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225" w:type="dxa"/>
            <w:gridSpan w:val="9"/>
            <w:tcBorders>
              <w:top w:val="single" w:color="000000" w:sz="4" w:space="0"/>
              <w:left w:val="single" w:color="000000" w:sz="4" w:space="0"/>
              <w:bottom w:val="single" w:color="000000" w:sz="4" w:space="0"/>
              <w:right w:val="single" w:color="000000" w:sz="4" w:space="0"/>
            </w:tcBorders>
            <w:noWrap w:val="0"/>
            <w:vAlign w:val="center"/>
          </w:tcPr>
          <w:p w14:paraId="541EFF52">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51202122Y000000250244-纪检专网、集团专线信息系统维护和租用费</w:t>
            </w:r>
          </w:p>
        </w:tc>
      </w:tr>
      <w:tr w14:paraId="5AA32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44C5E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0A80B2C5">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c>
          <w:tcPr>
            <w:tcW w:w="800" w:type="dxa"/>
            <w:tcBorders>
              <w:top w:val="nil"/>
              <w:left w:val="nil"/>
              <w:bottom w:val="nil"/>
              <w:right w:val="nil"/>
            </w:tcBorders>
            <w:noWrap w:val="0"/>
            <w:vAlign w:val="center"/>
          </w:tcPr>
          <w:p w14:paraId="57F9F6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实施单位 （盖章）</w:t>
            </w:r>
          </w:p>
        </w:tc>
        <w:tc>
          <w:tcPr>
            <w:tcW w:w="2650" w:type="dxa"/>
            <w:gridSpan w:val="3"/>
            <w:tcBorders>
              <w:top w:val="single" w:color="000000" w:sz="4" w:space="0"/>
              <w:left w:val="single" w:color="000000" w:sz="4" w:space="0"/>
              <w:bottom w:val="single" w:color="000000" w:sz="4" w:space="0"/>
              <w:right w:val="single" w:color="000000" w:sz="4" w:space="0"/>
            </w:tcBorders>
            <w:noWrap w:val="0"/>
            <w:vAlign w:val="center"/>
          </w:tcPr>
          <w:p w14:paraId="19B09876">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中国共产党安岳县纪律检查委员会</w:t>
            </w:r>
          </w:p>
        </w:tc>
      </w:tr>
      <w:tr w14:paraId="0891B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B4B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项目基本情况</w:t>
            </w:r>
          </w:p>
        </w:tc>
        <w:tc>
          <w:tcPr>
            <w:tcW w:w="11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0BEB6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1.项目年度目标完成情况</w:t>
            </w: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606C5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项目年度目标</w:t>
            </w:r>
          </w:p>
        </w:tc>
        <w:tc>
          <w:tcPr>
            <w:tcW w:w="3450" w:type="dxa"/>
            <w:gridSpan w:val="4"/>
            <w:tcBorders>
              <w:top w:val="single" w:color="000000" w:sz="4" w:space="0"/>
              <w:left w:val="single" w:color="000000" w:sz="4" w:space="0"/>
              <w:bottom w:val="single" w:color="000000" w:sz="4" w:space="0"/>
              <w:right w:val="single" w:color="000000" w:sz="4" w:space="0"/>
            </w:tcBorders>
            <w:noWrap w:val="0"/>
            <w:vAlign w:val="center"/>
          </w:tcPr>
          <w:p w14:paraId="69A7E9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年度目标完成情况</w:t>
            </w:r>
          </w:p>
        </w:tc>
      </w:tr>
      <w:tr w14:paraId="60343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4FAE9">
            <w:pPr>
              <w:rPr>
                <w:rFonts w:hint="eastAsia" w:ascii="宋体" w:hAnsi="宋体" w:eastAsia="宋体" w:cs="宋体"/>
                <w:i w:val="0"/>
                <w:iCs w:val="0"/>
                <w:color w:val="000000"/>
                <w:sz w:val="21"/>
                <w:szCs w:val="21"/>
                <w:u w:val="none"/>
              </w:rPr>
            </w:pPr>
          </w:p>
        </w:tc>
        <w:tc>
          <w:tcPr>
            <w:tcW w:w="11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584BE">
            <w:pPr>
              <w:rPr>
                <w:rFonts w:hint="eastAsia" w:ascii="宋体" w:hAnsi="宋体" w:eastAsia="宋体" w:cs="宋体"/>
                <w:i w:val="0"/>
                <w:iCs w:val="0"/>
                <w:color w:val="000000"/>
                <w:sz w:val="21"/>
                <w:szCs w:val="21"/>
                <w:u w:val="none"/>
              </w:rPr>
            </w:pPr>
          </w:p>
        </w:tc>
        <w:tc>
          <w:tcPr>
            <w:tcW w:w="3775" w:type="dxa"/>
            <w:gridSpan w:val="5"/>
            <w:tcBorders>
              <w:top w:val="single" w:color="000000" w:sz="4" w:space="0"/>
              <w:left w:val="single" w:color="000000" w:sz="4" w:space="0"/>
              <w:bottom w:val="single" w:color="000000" w:sz="4" w:space="0"/>
              <w:right w:val="single" w:color="000000" w:sz="4" w:space="0"/>
            </w:tcBorders>
            <w:noWrap w:val="0"/>
            <w:vAlign w:val="center"/>
          </w:tcPr>
          <w:p w14:paraId="2309FF56">
            <w:pPr>
              <w:rPr>
                <w:rFonts w:hint="eastAsia" w:ascii="宋体" w:hAnsi="宋体" w:eastAsia="宋体" w:cs="宋体"/>
                <w:i w:val="0"/>
                <w:iCs w:val="0"/>
                <w:color w:val="000000"/>
                <w:sz w:val="21"/>
                <w:szCs w:val="21"/>
                <w:u w:val="none"/>
              </w:rPr>
            </w:pPr>
            <w:bookmarkStart w:id="87" w:name="OLE_LINK8"/>
            <w:r>
              <w:rPr>
                <w:rFonts w:hint="eastAsia" w:ascii="宋体" w:hAnsi="宋体" w:eastAsia="宋体" w:cs="宋体"/>
                <w:i w:val="0"/>
                <w:iCs w:val="0"/>
                <w:color w:val="000000"/>
                <w:sz w:val="21"/>
                <w:szCs w:val="21"/>
                <w:u w:val="none"/>
              </w:rPr>
              <w:t>通过专网维护，确保</w:t>
            </w:r>
            <w:bookmarkStart w:id="88" w:name="OLE_LINK12"/>
            <w:r>
              <w:rPr>
                <w:rFonts w:hint="eastAsia" w:ascii="宋体" w:hAnsi="宋体" w:eastAsia="宋体" w:cs="宋体"/>
                <w:i w:val="0"/>
                <w:iCs w:val="0"/>
                <w:color w:val="000000"/>
                <w:sz w:val="21"/>
                <w:szCs w:val="21"/>
                <w:u w:val="none"/>
              </w:rPr>
              <w:t>市、县纪委</w:t>
            </w:r>
            <w:bookmarkEnd w:id="88"/>
            <w:r>
              <w:rPr>
                <w:rFonts w:hint="eastAsia" w:ascii="宋体" w:hAnsi="宋体" w:eastAsia="宋体" w:cs="宋体"/>
                <w:i w:val="0"/>
                <w:iCs w:val="0"/>
                <w:color w:val="000000"/>
                <w:sz w:val="21"/>
                <w:szCs w:val="21"/>
                <w:u w:val="none"/>
              </w:rPr>
              <w:t>业务正常往来；通过租用数据传输电路，确保视频会议正常接收。</w:t>
            </w:r>
            <w:bookmarkEnd w:id="87"/>
          </w:p>
        </w:tc>
        <w:tc>
          <w:tcPr>
            <w:tcW w:w="3450" w:type="dxa"/>
            <w:gridSpan w:val="4"/>
            <w:tcBorders>
              <w:top w:val="single" w:color="000000" w:sz="4" w:space="0"/>
              <w:left w:val="single" w:color="000000" w:sz="4" w:space="0"/>
              <w:bottom w:val="single" w:color="000000" w:sz="4" w:space="0"/>
              <w:right w:val="single" w:color="000000" w:sz="4" w:space="0"/>
            </w:tcBorders>
            <w:noWrap w:val="0"/>
            <w:vAlign w:val="center"/>
          </w:tcPr>
          <w:p w14:paraId="3B5D43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bookmarkStart w:id="89" w:name="OLE_LINK9"/>
            <w:r>
              <w:rPr>
                <w:rFonts w:hint="eastAsia" w:ascii="宋体" w:hAnsi="宋体" w:eastAsia="宋体" w:cs="宋体"/>
                <w:i w:val="0"/>
                <w:iCs w:val="0"/>
                <w:color w:val="000000"/>
                <w:sz w:val="21"/>
                <w:szCs w:val="21"/>
                <w:u w:val="none"/>
                <w:lang w:eastAsia="zh-CN"/>
              </w:rPr>
              <w:t>网络信号稳定，视频会议有序高质量召开，</w:t>
            </w:r>
            <w:r>
              <w:rPr>
                <w:rFonts w:hint="eastAsia" w:ascii="宋体" w:hAnsi="宋体" w:eastAsia="宋体" w:cs="宋体"/>
                <w:i w:val="0"/>
                <w:iCs w:val="0"/>
                <w:color w:val="000000"/>
                <w:sz w:val="21"/>
                <w:szCs w:val="21"/>
                <w:u w:val="none"/>
                <w:lang w:val="en-US" w:eastAsia="zh-CN"/>
              </w:rPr>
              <w:t>纪检专网设备运行正常，确保文件接收等</w:t>
            </w:r>
            <w:r>
              <w:rPr>
                <w:rFonts w:hint="eastAsia" w:ascii="宋体" w:hAnsi="宋体" w:eastAsia="宋体" w:cs="宋体"/>
                <w:i w:val="0"/>
                <w:iCs w:val="0"/>
                <w:color w:val="000000"/>
                <w:sz w:val="21"/>
                <w:szCs w:val="21"/>
                <w:u w:val="none"/>
                <w:lang w:eastAsia="zh-CN"/>
              </w:rPr>
              <w:t>业务工作有序运转。</w:t>
            </w:r>
            <w:bookmarkEnd w:id="89"/>
          </w:p>
        </w:tc>
      </w:tr>
      <w:tr w14:paraId="7336D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06CFD5">
            <w:pP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7A591C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2.项目实施内容及过程概述</w:t>
            </w:r>
          </w:p>
        </w:tc>
        <w:tc>
          <w:tcPr>
            <w:tcW w:w="7225" w:type="dxa"/>
            <w:gridSpan w:val="9"/>
            <w:tcBorders>
              <w:top w:val="single" w:color="000000" w:sz="4" w:space="0"/>
              <w:left w:val="single" w:color="000000" w:sz="4" w:space="0"/>
              <w:bottom w:val="single" w:color="000000" w:sz="4" w:space="0"/>
              <w:right w:val="single" w:color="000000" w:sz="4" w:space="0"/>
            </w:tcBorders>
            <w:noWrap w:val="0"/>
            <w:vAlign w:val="center"/>
          </w:tcPr>
          <w:p w14:paraId="457DD1CF">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本项目围绕“纪检专网、集团专线信息系统维护和租用费”预算目标，重点保障市、县纪委业务数据传输及视频会议稳定运行。202</w:t>
            </w:r>
            <w:r>
              <w:rPr>
                <w:rFonts w:hint="eastAsia" w:ascii="宋体" w:hAnsi="宋体" w:cs="宋体"/>
                <w:i w:val="0"/>
                <w:iCs w:val="0"/>
                <w:color w:val="000000"/>
                <w:sz w:val="21"/>
                <w:szCs w:val="21"/>
                <w:u w:val="none"/>
                <w:lang w:val="en-US" w:eastAsia="zh-CN"/>
              </w:rPr>
              <w:t>4</w:t>
            </w:r>
            <w:r>
              <w:rPr>
                <w:rFonts w:hint="eastAsia" w:ascii="宋体" w:hAnsi="宋体" w:eastAsia="宋体" w:cs="宋体"/>
                <w:i w:val="0"/>
                <w:iCs w:val="0"/>
                <w:color w:val="000000"/>
                <w:sz w:val="21"/>
                <w:szCs w:val="21"/>
                <w:u w:val="none"/>
              </w:rPr>
              <w:t>年实际支出298773.25元，主要用于：一是支付228000元完成纪检专网（内网）机房搬迁升级维护，优化设备部署，提升网络安全性；二是支付32364.89元专网及集团专线租用费、36250.36元电信业务使用费，确保电路畅通和视频会议高质量传输；三是支出2158元用于专网设备应急维修，保障业务文件正常接收。通过上述措施，全年网络信号稳定，视频会议无中断，专网设备零故障运行，有效支撑了纪检业务高效运转，全面达成预算绩效目标。</w:t>
            </w:r>
          </w:p>
        </w:tc>
      </w:tr>
      <w:tr w14:paraId="1760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348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90" w:name="OLE_LINK11" w:colFirst="0" w:colLast="3"/>
            <w:r>
              <w:rPr>
                <w:rFonts w:hint="eastAsia" w:ascii="宋体" w:hAnsi="宋体" w:eastAsia="宋体" w:cs="宋体"/>
                <w:i w:val="0"/>
                <w:iCs w:val="0"/>
                <w:color w:val="000000"/>
                <w:kern w:val="0"/>
                <w:sz w:val="21"/>
                <w:szCs w:val="21"/>
                <w:u w:val="none"/>
                <w:lang w:val="en-US" w:eastAsia="zh-CN" w:bidi="ar"/>
              </w:rPr>
              <w:t>预算执行情况（10分）</w:t>
            </w: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1A2B6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年度预算数（万元）</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0D33C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99D91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调整后预算数</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356FAD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预算执行数</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FB88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预算执行率</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3F8C3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13625B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98481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w:t>
            </w:r>
          </w:p>
        </w:tc>
      </w:tr>
      <w:tr w14:paraId="2254B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FF0D6">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63A72B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总额</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2D7C1A6">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8.8</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05612838">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bookmarkStart w:id="91" w:name="OLE_LINK1"/>
            <w:r>
              <w:rPr>
                <w:rFonts w:hint="eastAsia" w:ascii="宋体" w:hAnsi="宋体" w:cs="宋体"/>
                <w:i w:val="0"/>
                <w:iCs w:val="0"/>
                <w:color w:val="000000"/>
                <w:kern w:val="0"/>
                <w:sz w:val="21"/>
                <w:szCs w:val="21"/>
                <w:u w:val="none"/>
                <w:lang w:val="en-US" w:eastAsia="zh-CN" w:bidi="ar"/>
              </w:rPr>
              <w:t>29.66</w:t>
            </w:r>
            <w:bookmarkEnd w:id="91"/>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1065A9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92" w:name="OLE_LINK3"/>
            <w:r>
              <w:rPr>
                <w:rFonts w:hint="eastAsia" w:ascii="宋体" w:hAnsi="宋体" w:eastAsia="宋体" w:cs="宋体"/>
                <w:i w:val="0"/>
                <w:iCs w:val="0"/>
                <w:color w:val="000000"/>
                <w:kern w:val="0"/>
                <w:sz w:val="21"/>
                <w:szCs w:val="21"/>
                <w:u w:val="none"/>
                <w:lang w:val="en-US" w:eastAsia="zh-CN" w:bidi="ar"/>
              </w:rPr>
              <w:t>29.66</w:t>
            </w:r>
            <w:bookmarkEnd w:id="92"/>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51E48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1EE17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2C095D74">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10</w:t>
            </w:r>
          </w:p>
        </w:tc>
        <w:tc>
          <w:tcPr>
            <w:tcW w:w="16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3925C62">
            <w:pPr>
              <w:keepNext w:val="0"/>
              <w:keepLines w:val="0"/>
              <w:widowControl/>
              <w:suppressLineNumbers w:val="0"/>
              <w:jc w:val="center"/>
              <w:textAlignment w:val="center"/>
              <w:rPr>
                <w:rFonts w:hint="eastAsia" w:ascii="宋体" w:hAnsi="宋体" w:eastAsia="宋体" w:cs="宋体"/>
                <w:i/>
                <w:iCs/>
                <w:color w:val="000000"/>
                <w:sz w:val="21"/>
                <w:szCs w:val="21"/>
                <w:u w:val="none"/>
                <w:lang w:val="en-US" w:eastAsia="zh-CN"/>
              </w:rPr>
            </w:pPr>
            <w:r>
              <w:rPr>
                <w:rFonts w:hint="eastAsia" w:ascii="宋体" w:hAnsi="宋体" w:cs="宋体"/>
                <w:i w:val="0"/>
                <w:iCs w:val="0"/>
                <w:color w:val="000000"/>
                <w:sz w:val="21"/>
                <w:szCs w:val="21"/>
                <w:u w:val="none"/>
                <w:lang w:val="en-US" w:eastAsia="zh-CN"/>
              </w:rPr>
              <w:t>无</w:t>
            </w:r>
          </w:p>
        </w:tc>
      </w:tr>
      <w:tr w14:paraId="34931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0F3BE">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6BF0BD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其中：财政资金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0ACA17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8.8</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76203B0">
            <w:pPr>
              <w:jc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29.66</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5343402B">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29.66</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8AC64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100</w:t>
            </w:r>
            <w:r>
              <w:rPr>
                <w:rFonts w:hint="eastAsia" w:ascii="宋体" w:hAnsi="宋体" w:eastAsia="宋体" w:cs="宋体"/>
                <w:i w:val="0"/>
                <w:iCs w:val="0"/>
                <w:color w:val="000000"/>
                <w:kern w:val="0"/>
                <w:sz w:val="21"/>
                <w:szCs w:val="21"/>
                <w:u w:val="none"/>
                <w:lang w:val="en-US" w:eastAsia="zh-CN" w:bidi="ar"/>
              </w:rPr>
              <w:t>%</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A73EE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93" w:name="OLE_LINK10"/>
            <w:r>
              <w:rPr>
                <w:rFonts w:hint="eastAsia" w:ascii="宋体" w:hAnsi="宋体" w:eastAsia="宋体" w:cs="宋体"/>
                <w:i w:val="0"/>
                <w:iCs w:val="0"/>
                <w:color w:val="000000"/>
                <w:kern w:val="0"/>
                <w:sz w:val="21"/>
                <w:szCs w:val="21"/>
                <w:u w:val="none"/>
                <w:lang w:val="en-US" w:eastAsia="zh-CN" w:bidi="ar"/>
              </w:rPr>
              <w:t>/</w:t>
            </w:r>
            <w:bookmarkEnd w:id="93"/>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49F3BDB1">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7E6D8">
            <w:pPr>
              <w:rPr>
                <w:rFonts w:hint="eastAsia" w:ascii="宋体" w:hAnsi="宋体" w:eastAsia="宋体" w:cs="宋体"/>
                <w:i/>
                <w:iCs/>
                <w:color w:val="000000"/>
                <w:sz w:val="21"/>
                <w:szCs w:val="21"/>
                <w:u w:val="none"/>
              </w:rPr>
            </w:pPr>
          </w:p>
        </w:tc>
      </w:tr>
      <w:tr w14:paraId="7D58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442BF">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16023B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财政专户管理资金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CAAC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94" w:name="OLE_LINK2"/>
            <w:r>
              <w:rPr>
                <w:rFonts w:hint="eastAsia" w:ascii="宋体" w:hAnsi="宋体" w:eastAsia="宋体" w:cs="宋体"/>
                <w:i w:val="0"/>
                <w:iCs w:val="0"/>
                <w:color w:val="000000"/>
                <w:kern w:val="0"/>
                <w:sz w:val="21"/>
                <w:szCs w:val="21"/>
                <w:u w:val="none"/>
                <w:lang w:val="en-US" w:eastAsia="zh-CN" w:bidi="ar"/>
              </w:rPr>
              <w:t>0.00</w:t>
            </w:r>
            <w:bookmarkEnd w:id="94"/>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6093E56">
            <w:pPr>
              <w:jc w:val="center"/>
              <w:rPr>
                <w:rFonts w:hint="eastAsia" w:ascii="宋体" w:hAnsi="宋体" w:eastAsia="宋体" w:cs="宋体"/>
                <w:i w:val="0"/>
                <w:iCs w:val="0"/>
                <w:color w:val="000000"/>
                <w:sz w:val="21"/>
                <w:szCs w:val="21"/>
                <w:u w:val="none"/>
              </w:rPr>
            </w:pPr>
            <w:bookmarkStart w:id="95" w:name="OLE_LINK4"/>
            <w:r>
              <w:rPr>
                <w:rFonts w:hint="eastAsia" w:ascii="宋体" w:hAnsi="宋体" w:eastAsia="宋体" w:cs="宋体"/>
                <w:i w:val="0"/>
                <w:iCs w:val="0"/>
                <w:color w:val="000000"/>
                <w:kern w:val="0"/>
                <w:sz w:val="21"/>
                <w:szCs w:val="21"/>
                <w:u w:val="none"/>
                <w:lang w:val="en-US" w:eastAsia="zh-CN" w:bidi="ar"/>
              </w:rPr>
              <w:t>0.00</w:t>
            </w:r>
            <w:bookmarkEnd w:id="95"/>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6714A0F9">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05E41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5C079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5BC244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4B94E">
            <w:pPr>
              <w:rPr>
                <w:rFonts w:hint="eastAsia" w:ascii="宋体" w:hAnsi="宋体" w:eastAsia="宋体" w:cs="宋体"/>
                <w:i/>
                <w:iCs/>
                <w:color w:val="000000"/>
                <w:sz w:val="21"/>
                <w:szCs w:val="21"/>
                <w:u w:val="none"/>
              </w:rPr>
            </w:pPr>
          </w:p>
        </w:tc>
      </w:tr>
      <w:tr w14:paraId="0E971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CF71F">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626A60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F5CEA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D2B85C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0DEE9A22">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BE540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255A89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51755C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393214">
            <w:pPr>
              <w:rPr>
                <w:rFonts w:hint="eastAsia" w:ascii="宋体" w:hAnsi="宋体" w:eastAsia="宋体" w:cs="宋体"/>
                <w:i/>
                <w:iCs/>
                <w:color w:val="000000"/>
                <w:sz w:val="21"/>
                <w:szCs w:val="21"/>
                <w:u w:val="none"/>
              </w:rPr>
            </w:pPr>
          </w:p>
        </w:tc>
      </w:tr>
      <w:tr w14:paraId="66A3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C27F0">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755BC5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9D295DA">
            <w:pPr>
              <w:jc w:val="center"/>
              <w:rPr>
                <w:rFonts w:hint="eastAsia" w:ascii="宋体" w:hAnsi="宋体" w:eastAsia="宋体" w:cs="宋体"/>
                <w:i/>
                <w:iCs/>
                <w:color w:val="000000"/>
                <w:sz w:val="21"/>
                <w:szCs w:val="21"/>
                <w:u w:val="none"/>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43CF1365">
            <w:pPr>
              <w:jc w:val="center"/>
              <w:rPr>
                <w:rFonts w:hint="eastAsia" w:ascii="宋体" w:hAnsi="宋体" w:eastAsia="宋体" w:cs="宋体"/>
                <w:i/>
                <w:iCs/>
                <w:color w:val="000000"/>
                <w:sz w:val="21"/>
                <w:szCs w:val="21"/>
                <w:u w:val="none"/>
              </w:rPr>
            </w:pPr>
          </w:p>
        </w:tc>
        <w:tc>
          <w:tcPr>
            <w:tcW w:w="1626" w:type="dxa"/>
            <w:gridSpan w:val="3"/>
            <w:tcBorders>
              <w:top w:val="single" w:color="000000" w:sz="4" w:space="0"/>
              <w:left w:val="single" w:color="000000" w:sz="4" w:space="0"/>
              <w:bottom w:val="single" w:color="000000" w:sz="4" w:space="0"/>
              <w:right w:val="single" w:color="000000" w:sz="4" w:space="0"/>
            </w:tcBorders>
            <w:noWrap w:val="0"/>
            <w:vAlign w:val="center"/>
          </w:tcPr>
          <w:p w14:paraId="29CDA869">
            <w:pPr>
              <w:jc w:val="center"/>
              <w:rPr>
                <w:rFonts w:hint="eastAsia" w:ascii="宋体" w:hAnsi="宋体" w:eastAsia="宋体" w:cs="宋体"/>
                <w:i/>
                <w:iCs/>
                <w:color w:val="000000"/>
                <w:sz w:val="21"/>
                <w:szCs w:val="21"/>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1F4F275">
            <w:pPr>
              <w:jc w:val="center"/>
              <w:rPr>
                <w:rFonts w:hint="eastAsia" w:ascii="宋体" w:hAnsi="宋体" w:eastAsia="宋体" w:cs="宋体"/>
                <w:i/>
                <w:iCs/>
                <w:color w:val="000000"/>
                <w:sz w:val="21"/>
                <w:szCs w:val="21"/>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3A3A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31B8AB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6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FD073A">
            <w:pPr>
              <w:rPr>
                <w:rFonts w:hint="eastAsia" w:ascii="宋体" w:hAnsi="宋体" w:eastAsia="宋体" w:cs="宋体"/>
                <w:i/>
                <w:iCs/>
                <w:color w:val="000000"/>
                <w:sz w:val="21"/>
                <w:szCs w:val="21"/>
                <w:u w:val="none"/>
              </w:rPr>
            </w:pPr>
          </w:p>
        </w:tc>
      </w:tr>
      <w:tr w14:paraId="75766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6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96B3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绩效指标（90分）</w:t>
            </w: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471E6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B771F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08C608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485DE3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指标性质</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260F88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指标值</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FE501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度量单位</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1BC25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完成值</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B7185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341470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1EC545A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未完成</w:t>
            </w:r>
          </w:p>
          <w:p w14:paraId="0BCFA7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原因分析</w:t>
            </w:r>
          </w:p>
        </w:tc>
      </w:tr>
      <w:tr w14:paraId="37AC5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979317">
            <w:pPr>
              <w:jc w:val="center"/>
              <w:rPr>
                <w:rFonts w:hint="eastAsia" w:ascii="宋体" w:hAnsi="宋体" w:eastAsia="宋体" w:cs="宋体"/>
                <w:i w:val="0"/>
                <w:iCs w:val="0"/>
                <w:color w:val="000000"/>
                <w:sz w:val="21"/>
                <w:szCs w:val="21"/>
                <w:u w:val="none"/>
              </w:rPr>
            </w:pPr>
          </w:p>
        </w:tc>
        <w:tc>
          <w:tcPr>
            <w:tcW w:w="1175" w:type="dxa"/>
            <w:vMerge w:val="restart"/>
            <w:tcBorders>
              <w:top w:val="single" w:color="000000" w:sz="4" w:space="0"/>
              <w:left w:val="single" w:color="000000" w:sz="4" w:space="0"/>
              <w:right w:val="single" w:color="000000" w:sz="4" w:space="0"/>
            </w:tcBorders>
            <w:noWrap w:val="0"/>
            <w:vAlign w:val="center"/>
          </w:tcPr>
          <w:p w14:paraId="4AD03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EEB6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9AD053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纪检专网服务项目</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70C37B09">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6B00205E">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44AFF24F">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个</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A4F0A83">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7</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C210B3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7CF78365">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355FF605">
            <w:pPr>
              <w:jc w:val="center"/>
              <w:rPr>
                <w:rFonts w:hint="eastAsia" w:ascii="宋体" w:hAnsi="宋体" w:eastAsia="宋体" w:cs="宋体"/>
                <w:i w:val="0"/>
                <w:iCs w:val="0"/>
                <w:color w:val="000000"/>
                <w:sz w:val="18"/>
                <w:szCs w:val="18"/>
                <w:u w:val="none"/>
                <w:lang w:val="en-US" w:eastAsia="zh-CN"/>
              </w:rPr>
            </w:pPr>
            <w:bookmarkStart w:id="96" w:name="OLE_LINK6"/>
            <w:r>
              <w:rPr>
                <w:rFonts w:hint="eastAsia" w:ascii="宋体" w:hAnsi="宋体" w:cs="宋体"/>
                <w:i w:val="0"/>
                <w:iCs w:val="0"/>
                <w:color w:val="000000"/>
                <w:sz w:val="18"/>
                <w:szCs w:val="18"/>
                <w:u w:val="none"/>
                <w:lang w:val="en-US" w:eastAsia="zh-CN"/>
              </w:rPr>
              <w:t>无</w:t>
            </w:r>
            <w:bookmarkEnd w:id="96"/>
          </w:p>
        </w:tc>
      </w:tr>
      <w:tr w14:paraId="15D1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46E504">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7E255E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6A6819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bookmarkStart w:id="97" w:name="OLE_LINK5"/>
            <w:r>
              <w:rPr>
                <w:rFonts w:hint="eastAsia" w:ascii="宋体" w:hAnsi="宋体" w:cs="宋体"/>
                <w:i w:val="0"/>
                <w:iCs w:val="0"/>
                <w:color w:val="000000"/>
                <w:kern w:val="0"/>
                <w:sz w:val="18"/>
                <w:szCs w:val="18"/>
                <w:u w:val="none"/>
                <w:lang w:val="en-US" w:eastAsia="zh-CN" w:bidi="ar"/>
              </w:rPr>
              <w:t>质量指标</w:t>
            </w:r>
            <w:bookmarkEnd w:id="97"/>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F31B34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纪检专网正常运转率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6F07067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0A77B00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67E492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0A2D7B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2507B5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3E63FBF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20FAFBD">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1DD95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EDFD">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4E6FBF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AB9BC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质量指标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2D4D3E8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数据传输安全畅通</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2D3F470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63E82B4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5FB9F4B">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0C8EEBC">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FD78F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01687414">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32E93D2">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2AFCC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55E150">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bottom w:val="single" w:color="000000" w:sz="4" w:space="0"/>
              <w:right w:val="single" w:color="000000" w:sz="4" w:space="0"/>
            </w:tcBorders>
            <w:noWrap w:val="0"/>
            <w:vAlign w:val="center"/>
          </w:tcPr>
          <w:p w14:paraId="0FA7EB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6BFE8FC">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时效指标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330F1382">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完成时间</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4D10E9ED">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5C6C411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33CC60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年</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396052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1年</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D3D18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0A581A4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032A9A9B">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4D02E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70D91C">
            <w:pPr>
              <w:jc w:val="center"/>
              <w:rPr>
                <w:rFonts w:hint="eastAsia" w:ascii="宋体" w:hAnsi="宋体" w:eastAsia="宋体" w:cs="宋体"/>
                <w:i w:val="0"/>
                <w:iCs w:val="0"/>
                <w:color w:val="000000"/>
                <w:sz w:val="21"/>
                <w:szCs w:val="21"/>
                <w:u w:val="none"/>
              </w:rPr>
            </w:pPr>
          </w:p>
        </w:tc>
        <w:tc>
          <w:tcPr>
            <w:tcW w:w="1175" w:type="dxa"/>
            <w:vMerge w:val="restart"/>
            <w:tcBorders>
              <w:top w:val="single" w:color="000000" w:sz="4" w:space="0"/>
              <w:left w:val="single" w:color="000000" w:sz="4" w:space="0"/>
              <w:right w:val="single" w:color="000000" w:sz="4" w:space="0"/>
            </w:tcBorders>
            <w:noWrap w:val="0"/>
            <w:vAlign w:val="center"/>
          </w:tcPr>
          <w:p w14:paraId="50DBF87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效益指标</w:t>
            </w:r>
          </w:p>
        </w:tc>
        <w:tc>
          <w:tcPr>
            <w:tcW w:w="788" w:type="dxa"/>
            <w:vMerge w:val="restart"/>
            <w:tcBorders>
              <w:top w:val="single" w:color="000000" w:sz="4" w:space="0"/>
              <w:left w:val="single" w:color="000000" w:sz="4" w:space="0"/>
              <w:right w:val="single" w:color="000000" w:sz="4" w:space="0"/>
            </w:tcBorders>
            <w:noWrap w:val="0"/>
            <w:vAlign w:val="center"/>
          </w:tcPr>
          <w:p w14:paraId="61DE58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p w14:paraId="023BDE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7EE076B2">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纪检监察专网为机密级网络，有效保障问题线索的安全可靠性</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587CDE8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3FB32D8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58BF142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26E9BA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1F9DCF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09B4D19A">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1B4248BD">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61647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A7EB2B">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right w:val="single" w:color="000000" w:sz="4" w:space="0"/>
            </w:tcBorders>
            <w:noWrap w:val="0"/>
            <w:vAlign w:val="center"/>
          </w:tcPr>
          <w:p w14:paraId="22C1CB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vMerge w:val="continue"/>
            <w:tcBorders>
              <w:left w:val="single" w:color="000000" w:sz="4" w:space="0"/>
              <w:bottom w:val="single" w:color="000000" w:sz="4" w:space="0"/>
              <w:right w:val="single" w:color="000000" w:sz="4" w:space="0"/>
            </w:tcBorders>
            <w:noWrap w:val="0"/>
            <w:vAlign w:val="center"/>
          </w:tcPr>
          <w:p w14:paraId="520F8E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02D2FA5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加强和推动纪检监察工作提质增效</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38CD776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2654A9E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0573C566">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9A6C1A5">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7934B3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699571F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1D3EE313">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4B476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42388">
            <w:pPr>
              <w:jc w:val="center"/>
              <w:rPr>
                <w:rFonts w:hint="eastAsia" w:ascii="宋体" w:hAnsi="宋体" w:eastAsia="宋体" w:cs="宋体"/>
                <w:i w:val="0"/>
                <w:iCs w:val="0"/>
                <w:color w:val="000000"/>
                <w:sz w:val="21"/>
                <w:szCs w:val="21"/>
                <w:u w:val="none"/>
              </w:rPr>
            </w:pPr>
          </w:p>
        </w:tc>
        <w:tc>
          <w:tcPr>
            <w:tcW w:w="1175" w:type="dxa"/>
            <w:vMerge w:val="continue"/>
            <w:tcBorders>
              <w:left w:val="single" w:color="000000" w:sz="4" w:space="0"/>
              <w:bottom w:val="single" w:color="000000" w:sz="4" w:space="0"/>
              <w:right w:val="single" w:color="000000" w:sz="4" w:space="0"/>
            </w:tcBorders>
            <w:noWrap w:val="0"/>
            <w:vAlign w:val="center"/>
          </w:tcPr>
          <w:p w14:paraId="7A920A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70DCF6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1C26345D">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信息系统稳定性</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01F9B0B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定性</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743894D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好</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216D9F47">
            <w:pPr>
              <w:jc w:val="center"/>
              <w:rPr>
                <w:rFonts w:hint="eastAsia" w:ascii="宋体" w:hAnsi="宋体" w:eastAsia="宋体" w:cs="宋体"/>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479FDB9">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好</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587F65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44BEF0AE">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05FB8616">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3632B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5F5A3C">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6E71B4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w:t>
            </w:r>
          </w:p>
          <w:p w14:paraId="0ADA3DF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E8511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209C66E0">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单位用户满意度</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5CAC7FC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2C630C3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95</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195465B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0E6901C">
            <w:pPr>
              <w:jc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sz w:val="18"/>
                <w:szCs w:val="18"/>
                <w:u w:val="none"/>
                <w:lang w:val="en-US" w:eastAsia="zh-CN"/>
              </w:rPr>
              <w:t>100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3210B6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5311001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338FC4A">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24851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6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A0A68">
            <w:pPr>
              <w:jc w:val="center"/>
              <w:rPr>
                <w:rFonts w:hint="eastAsia" w:ascii="宋体" w:hAnsi="宋体" w:eastAsia="宋体" w:cs="宋体"/>
                <w:i w:val="0"/>
                <w:iCs w:val="0"/>
                <w:color w:val="000000"/>
                <w:sz w:val="21"/>
                <w:szCs w:val="21"/>
                <w:u w:val="none"/>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14:paraId="4C1274F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39F7F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14:paraId="57236FCB">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项目支出成本节约率</w:t>
            </w:r>
          </w:p>
        </w:tc>
        <w:tc>
          <w:tcPr>
            <w:tcW w:w="664" w:type="dxa"/>
            <w:tcBorders>
              <w:top w:val="single" w:color="000000" w:sz="4" w:space="0"/>
              <w:left w:val="single" w:color="000000" w:sz="4" w:space="0"/>
              <w:bottom w:val="single" w:color="000000" w:sz="4" w:space="0"/>
              <w:right w:val="single" w:color="000000" w:sz="4" w:space="0"/>
            </w:tcBorders>
            <w:noWrap w:val="0"/>
            <w:vAlign w:val="center"/>
          </w:tcPr>
          <w:p w14:paraId="09A678D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487" w:type="dxa"/>
            <w:tcBorders>
              <w:top w:val="single" w:color="000000" w:sz="4" w:space="0"/>
              <w:left w:val="single" w:color="000000" w:sz="4" w:space="0"/>
              <w:bottom w:val="single" w:color="000000" w:sz="4" w:space="0"/>
              <w:right w:val="single" w:color="000000" w:sz="4" w:space="0"/>
            </w:tcBorders>
            <w:noWrap w:val="0"/>
            <w:vAlign w:val="center"/>
          </w:tcPr>
          <w:p w14:paraId="52581E6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0</w:t>
            </w:r>
          </w:p>
        </w:tc>
        <w:tc>
          <w:tcPr>
            <w:tcW w:w="475" w:type="dxa"/>
            <w:tcBorders>
              <w:top w:val="single" w:color="000000" w:sz="4" w:space="0"/>
              <w:left w:val="single" w:color="000000" w:sz="4" w:space="0"/>
              <w:bottom w:val="single" w:color="000000" w:sz="4" w:space="0"/>
              <w:right w:val="single" w:color="000000" w:sz="4" w:space="0"/>
            </w:tcBorders>
            <w:noWrap w:val="0"/>
            <w:vAlign w:val="center"/>
          </w:tcPr>
          <w:p w14:paraId="6E9F2BAB">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DE42BF7">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0</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F5A27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70314FD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27385F6">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无</w:t>
            </w:r>
          </w:p>
        </w:tc>
      </w:tr>
      <w:tr w14:paraId="557B0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400" w:type="dxa"/>
            <w:gridSpan w:val="8"/>
            <w:tcBorders>
              <w:top w:val="single" w:color="000000" w:sz="4" w:space="0"/>
              <w:left w:val="single" w:color="000000" w:sz="4" w:space="0"/>
              <w:bottom w:val="single" w:color="000000" w:sz="4" w:space="0"/>
              <w:right w:val="single" w:color="000000" w:sz="4" w:space="0"/>
            </w:tcBorders>
            <w:noWrap w:val="0"/>
            <w:vAlign w:val="center"/>
          </w:tcPr>
          <w:p w14:paraId="56F76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4D3282BF">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14:paraId="27404103">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C9AA13F">
            <w:pPr>
              <w:rPr>
                <w:rFonts w:hint="eastAsia" w:ascii="宋体" w:hAnsi="宋体" w:eastAsia="宋体" w:cs="宋体"/>
                <w:i w:val="0"/>
                <w:iCs w:val="0"/>
                <w:color w:val="000000"/>
                <w:sz w:val="18"/>
                <w:szCs w:val="18"/>
                <w:u w:val="none"/>
              </w:rPr>
            </w:pPr>
          </w:p>
        </w:tc>
      </w:tr>
      <w:bookmarkEnd w:id="90"/>
      <w:tr w14:paraId="557CE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04A30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08D767D2">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rPr>
              <w:t>本项目自评总分</w:t>
            </w:r>
            <w:r>
              <w:rPr>
                <w:rFonts w:hint="default" w:ascii="宋体" w:hAnsi="宋体" w:eastAsia="宋体" w:cs="宋体"/>
                <w:i w:val="0"/>
                <w:iCs w:val="0"/>
                <w:color w:val="000000"/>
                <w:sz w:val="21"/>
                <w:szCs w:val="21"/>
                <w:u w:val="none"/>
              </w:rPr>
              <w:t>100分（预算执行10分+绩效指标90分），预算执行率100%，各项绩效指标均圆满完成。项目实施成效显著：一是保障纪检专网稳定运行，全年无故障，视频会议高质量召开，业务数据传输安全畅通；二是完成机房搬迁升级，提升网络安全性，确保问题线索保密性；三是优化专线租用及维护，支撑纪检监察工作提质增效。用户满意度达100%，信息系统长期稳定运行，全面达成“保障市、县纪委业务正常运转”的预期目标，资金使用规范高效。</w:t>
            </w:r>
          </w:p>
        </w:tc>
      </w:tr>
      <w:tr w14:paraId="449DF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54004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bookmarkStart w:id="98" w:name="OLE_LINK13"/>
            <w:r>
              <w:rPr>
                <w:rFonts w:hint="eastAsia" w:ascii="宋体" w:hAnsi="宋体" w:eastAsia="宋体" w:cs="宋体"/>
                <w:i w:val="0"/>
                <w:iCs w:val="0"/>
                <w:color w:val="000000"/>
                <w:kern w:val="0"/>
                <w:sz w:val="21"/>
                <w:szCs w:val="21"/>
                <w:u w:val="none"/>
                <w:lang w:val="en-US" w:eastAsia="zh-CN" w:bidi="ar"/>
              </w:rPr>
              <w:t>存在问题</w:t>
            </w:r>
            <w:bookmarkEnd w:id="98"/>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542958B0">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本项目自评总体表现良好，但仍存在两方面不足：一是预算编制前瞻性不够，年初预算8.8万元最终调整至29.66万元，主要因机房搬迁升级等未预见需求导致；二是成本控制有待加强，虽然预算执行率达100%，但成本节约率为0%，反映出采购和运维模式较为固化，缺乏有效的成本优化措施。</w:t>
            </w:r>
          </w:p>
        </w:tc>
      </w:tr>
      <w:tr w14:paraId="615AB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50" w:type="dxa"/>
            <w:tcBorders>
              <w:top w:val="single" w:color="000000" w:sz="4" w:space="0"/>
              <w:left w:val="single" w:color="000000" w:sz="4" w:space="0"/>
              <w:bottom w:val="single" w:color="000000" w:sz="4" w:space="0"/>
              <w:right w:val="single" w:color="000000" w:sz="4" w:space="0"/>
            </w:tcBorders>
            <w:noWrap w:val="0"/>
            <w:vAlign w:val="center"/>
          </w:tcPr>
          <w:p w14:paraId="338546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noWrap w:val="0"/>
            <w:vAlign w:val="center"/>
          </w:tcPr>
          <w:p w14:paraId="40CB5EA1">
            <w:pPr>
              <w:keepNext w:val="0"/>
              <w:keepLines w:val="0"/>
              <w:widowControl/>
              <w:suppressLineNumbers w:val="0"/>
              <w:jc w:val="left"/>
              <w:textAlignment w:val="center"/>
              <w:rPr>
                <w:rFonts w:hint="eastAsia" w:ascii="宋体" w:hAnsi="宋体" w:eastAsia="宋体" w:cs="宋体"/>
                <w:i/>
                <w:iCs/>
                <w:color w:val="000000"/>
                <w:sz w:val="21"/>
                <w:szCs w:val="21"/>
                <w:u w:val="none"/>
              </w:rPr>
            </w:pPr>
            <w:r>
              <w:rPr>
                <w:rFonts w:hint="eastAsia" w:ascii="宋体" w:hAnsi="宋体" w:eastAsia="宋体" w:cs="宋体"/>
                <w:i w:val="0"/>
                <w:iCs w:val="0"/>
                <w:color w:val="000000"/>
                <w:sz w:val="21"/>
                <w:szCs w:val="21"/>
                <w:u w:val="none"/>
                <w:lang w:val="en-US" w:eastAsia="zh-CN"/>
              </w:rPr>
              <w:t>针对本次绩效自评发现的问题，建议从以下方面改进完善：一是加强预算编制管理，开展可行性研究，提高预算精准性；二是完善运维体系，制定分级运维标准，建立预防性维护制度，适当增加日常巡检频次，必要时引入第三方评估；三是强化结果运用，将绩效评价与预算安排挂钩，对成效好的项目给予倾斜。通过以上措施，全面提升项目管理水平和资金使用效益。</w:t>
            </w:r>
          </w:p>
        </w:tc>
      </w:tr>
      <w:tr w14:paraId="39B1B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3974" w:type="dxa"/>
            <w:gridSpan w:val="4"/>
            <w:tcBorders>
              <w:top w:val="single" w:color="000000" w:sz="4" w:space="0"/>
              <w:left w:val="single" w:color="000000" w:sz="4" w:space="0"/>
              <w:bottom w:val="single" w:color="000000" w:sz="4" w:space="0"/>
              <w:right w:val="single" w:color="000000" w:sz="4" w:space="0"/>
            </w:tcBorders>
            <w:noWrap w:val="0"/>
            <w:vAlign w:val="center"/>
          </w:tcPr>
          <w:p w14:paraId="1BDFF2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5076" w:type="dxa"/>
            <w:gridSpan w:val="7"/>
            <w:tcBorders>
              <w:top w:val="single" w:color="000000" w:sz="4" w:space="0"/>
              <w:left w:val="single" w:color="000000" w:sz="4" w:space="0"/>
              <w:bottom w:val="single" w:color="000000" w:sz="4" w:space="0"/>
              <w:right w:val="single" w:color="000000" w:sz="4" w:space="0"/>
            </w:tcBorders>
            <w:noWrap w:val="0"/>
            <w:vAlign w:val="center"/>
          </w:tcPr>
          <w:p w14:paraId="31D6A2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财务负责人：</w:t>
            </w:r>
          </w:p>
        </w:tc>
      </w:tr>
    </w:tbl>
    <w:p w14:paraId="757E64B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宋体" w:hAnsi="宋体" w:eastAsia="仿宋_GB2312" w:cs="仿宋_GB2312"/>
          <w:b w:val="0"/>
          <w:bCs w:val="0"/>
          <w:kern w:val="0"/>
          <w:position w:val="0"/>
          <w:sz w:val="32"/>
          <w:szCs w:val="32"/>
          <w:highlight w:val="none"/>
          <w:lang w:val="en-US" w:eastAsia="zh-CN" w:bidi="ar-SA"/>
        </w:rPr>
      </w:pPr>
      <w:r>
        <w:rPr>
          <w:rFonts w:hint="eastAsia" w:ascii="宋体" w:hAnsi="宋体" w:eastAsia="仿宋_GB2312" w:cs="仿宋_GB2312"/>
          <w:b w:val="0"/>
          <w:bCs w:val="0"/>
          <w:kern w:val="0"/>
          <w:position w:val="0"/>
          <w:sz w:val="32"/>
          <w:szCs w:val="32"/>
          <w:highlight w:val="none"/>
          <w:lang w:val="en-US" w:eastAsia="zh-CN" w:bidi="ar-SA"/>
        </w:rPr>
        <w:br w:type="page"/>
      </w:r>
    </w:p>
    <w:p w14:paraId="58A5E1BE">
      <w:pPr>
        <w:pStyle w:val="3"/>
        <w:keepNext/>
        <w:keepLines/>
        <w:pageBreakBefore w:val="0"/>
        <w:widowControl w:val="0"/>
        <w:numPr>
          <w:ilvl w:val="0"/>
          <w:numId w:val="0"/>
        </w:numPr>
        <w:kinsoku/>
        <w:wordWrap/>
        <w:overflowPunct/>
        <w:topLinePunct w:val="0"/>
        <w:autoSpaceDE/>
        <w:autoSpaceDN/>
        <w:bidi w:val="0"/>
        <w:adjustRightInd/>
        <w:snapToGrid/>
        <w:spacing w:before="0" w:after="0" w:line="660" w:lineRule="exact"/>
        <w:jc w:val="center"/>
        <w:textAlignment w:val="auto"/>
        <w:rPr>
          <w:rFonts w:hint="eastAsia" w:ascii="宋体" w:hAnsi="宋体" w:eastAsia="方正小标宋简体" w:cs="方正小标宋简体"/>
          <w:b w:val="0"/>
          <w:bCs/>
          <w:color w:val="auto"/>
          <w:kern w:val="44"/>
          <w:sz w:val="44"/>
          <w:szCs w:val="44"/>
          <w:lang w:val="en-US" w:eastAsia="zh-CN" w:bidi="ar-SA"/>
        </w:rPr>
      </w:pPr>
      <w:bookmarkStart w:id="99" w:name="_Toc3610"/>
      <w:r>
        <w:rPr>
          <w:rFonts w:hint="eastAsia" w:ascii="宋体" w:hAnsi="宋体" w:eastAsia="方正小标宋简体" w:cs="方正小标宋简体"/>
          <w:b w:val="0"/>
          <w:bCs/>
          <w:color w:val="auto"/>
          <w:kern w:val="44"/>
          <w:sz w:val="44"/>
          <w:szCs w:val="44"/>
          <w:lang w:val="en-US" w:eastAsia="zh-CN" w:bidi="ar-SA"/>
        </w:rPr>
        <w:t>第五部分 附表</w:t>
      </w:r>
      <w:bookmarkEnd w:id="83"/>
      <w:bookmarkEnd w:id="86"/>
      <w:bookmarkEnd w:id="99"/>
      <w:bookmarkStart w:id="100" w:name="_Toc15396619"/>
    </w:p>
    <w:p w14:paraId="009E0BE1">
      <w:pPr>
        <w:pStyle w:val="15"/>
        <w:keepNext w:val="0"/>
        <w:keepLines w:val="0"/>
        <w:pageBreakBefore w:val="0"/>
        <w:widowControl w:val="0"/>
        <w:kinsoku/>
        <w:wordWrap/>
        <w:overflowPunct/>
        <w:topLinePunct w:val="0"/>
        <w:autoSpaceDE/>
        <w:autoSpaceDN/>
        <w:bidi w:val="0"/>
        <w:adjustRightInd w:val="0"/>
        <w:snapToGrid w:val="0"/>
        <w:spacing w:line="660" w:lineRule="exact"/>
        <w:jc w:val="left"/>
        <w:textAlignment w:val="auto"/>
        <w:rPr>
          <w:rFonts w:hint="eastAsia" w:ascii="宋体" w:hAnsi="宋体" w:eastAsia="仿宋_GB2312" w:cs="仿宋_GB2312"/>
          <w:color w:val="auto"/>
          <w:sz w:val="32"/>
          <w:szCs w:val="32"/>
          <w:highlight w:val="none"/>
        </w:rPr>
      </w:pPr>
    </w:p>
    <w:p w14:paraId="39C8576F">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1" w:name="_Toc30429"/>
      <w:r>
        <w:rPr>
          <w:rFonts w:hint="eastAsia" w:ascii="宋体" w:hAnsi="宋体" w:eastAsia="方正黑体简体" w:cs="方正黑体简体"/>
          <w:b w:val="0"/>
          <w:color w:val="auto"/>
          <w:highlight w:val="none"/>
          <w:lang w:val="en-US" w:eastAsia="zh-CN"/>
        </w:rPr>
        <w:t>一、收入支出决算总表</w:t>
      </w:r>
      <w:bookmarkEnd w:id="100"/>
      <w:bookmarkEnd w:id="101"/>
    </w:p>
    <w:p w14:paraId="015B483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2" w:name="_Toc19026"/>
      <w:bookmarkStart w:id="103" w:name="_Toc15396620"/>
      <w:r>
        <w:rPr>
          <w:rFonts w:hint="eastAsia" w:ascii="宋体" w:hAnsi="宋体" w:eastAsia="方正黑体简体" w:cs="方正黑体简体"/>
          <w:b w:val="0"/>
          <w:color w:val="auto"/>
          <w:highlight w:val="none"/>
          <w:lang w:val="en-US" w:eastAsia="zh-CN"/>
        </w:rPr>
        <w:t>二、收入决算表</w:t>
      </w:r>
      <w:bookmarkEnd w:id="102"/>
      <w:bookmarkEnd w:id="103"/>
    </w:p>
    <w:p w14:paraId="7E281B8F">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4" w:name="_Toc15396621"/>
      <w:bookmarkStart w:id="105" w:name="_Toc17254"/>
      <w:r>
        <w:rPr>
          <w:rFonts w:hint="eastAsia" w:ascii="宋体" w:hAnsi="宋体" w:eastAsia="方正黑体简体" w:cs="方正黑体简体"/>
          <w:b w:val="0"/>
          <w:color w:val="auto"/>
          <w:highlight w:val="none"/>
          <w:lang w:val="en-US" w:eastAsia="zh-CN"/>
        </w:rPr>
        <w:t>三、支出决算表</w:t>
      </w:r>
      <w:bookmarkEnd w:id="104"/>
      <w:bookmarkEnd w:id="105"/>
    </w:p>
    <w:p w14:paraId="14B24422">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6" w:name="_Toc15396622"/>
      <w:bookmarkStart w:id="107" w:name="_Toc26563"/>
      <w:r>
        <w:rPr>
          <w:rFonts w:hint="eastAsia" w:ascii="宋体" w:hAnsi="宋体" w:eastAsia="方正黑体简体" w:cs="方正黑体简体"/>
          <w:b w:val="0"/>
          <w:color w:val="auto"/>
          <w:highlight w:val="none"/>
          <w:lang w:val="en-US" w:eastAsia="zh-CN"/>
        </w:rPr>
        <w:t>四、财政拨款收入支出决算总表</w:t>
      </w:r>
      <w:bookmarkEnd w:id="106"/>
      <w:bookmarkEnd w:id="107"/>
    </w:p>
    <w:p w14:paraId="3476D0DC">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08" w:name="_Toc19980"/>
      <w:bookmarkStart w:id="109" w:name="_Toc15396623"/>
      <w:r>
        <w:rPr>
          <w:rFonts w:hint="eastAsia" w:ascii="宋体" w:hAnsi="宋体" w:eastAsia="方正黑体简体" w:cs="方正黑体简体"/>
          <w:b w:val="0"/>
          <w:color w:val="auto"/>
          <w:highlight w:val="none"/>
          <w:lang w:val="en-US" w:eastAsia="zh-CN"/>
        </w:rPr>
        <w:t>五、财政拨款支出决算明细表</w:t>
      </w:r>
      <w:bookmarkEnd w:id="108"/>
      <w:bookmarkEnd w:id="109"/>
      <w:bookmarkStart w:id="110" w:name="_Toc15396624"/>
    </w:p>
    <w:p w14:paraId="4640570E">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1" w:name="_Toc23169"/>
      <w:r>
        <w:rPr>
          <w:rFonts w:hint="eastAsia" w:ascii="宋体" w:hAnsi="宋体" w:eastAsia="方正黑体简体" w:cs="方正黑体简体"/>
          <w:b w:val="0"/>
          <w:color w:val="auto"/>
          <w:highlight w:val="none"/>
          <w:lang w:val="en-US" w:eastAsia="zh-CN"/>
        </w:rPr>
        <w:t>六、一般公共预算财政拨款支出决算表</w:t>
      </w:r>
      <w:bookmarkEnd w:id="110"/>
      <w:bookmarkEnd w:id="111"/>
    </w:p>
    <w:p w14:paraId="5A287FF1">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2" w:name="_Toc2783"/>
      <w:bookmarkStart w:id="113" w:name="_Toc15396625"/>
      <w:r>
        <w:rPr>
          <w:rFonts w:hint="eastAsia" w:ascii="宋体" w:hAnsi="宋体" w:eastAsia="方正黑体简体" w:cs="方正黑体简体"/>
          <w:b w:val="0"/>
          <w:color w:val="auto"/>
          <w:highlight w:val="none"/>
          <w:lang w:val="en-US" w:eastAsia="zh-CN"/>
        </w:rPr>
        <w:t>七、一般公共预算财政拨款支出决算明细表</w:t>
      </w:r>
      <w:bookmarkEnd w:id="112"/>
      <w:bookmarkEnd w:id="113"/>
    </w:p>
    <w:p w14:paraId="34CB70E0">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4" w:name="_Toc32128"/>
      <w:bookmarkStart w:id="115" w:name="_Toc15396626"/>
      <w:r>
        <w:rPr>
          <w:rFonts w:hint="eastAsia" w:ascii="宋体" w:hAnsi="宋体" w:eastAsia="方正黑体简体" w:cs="方正黑体简体"/>
          <w:b w:val="0"/>
          <w:color w:val="auto"/>
          <w:highlight w:val="none"/>
          <w:lang w:val="en-US" w:eastAsia="zh-CN"/>
        </w:rPr>
        <w:t>八、一般公共预算财政拨款基本支出决算表</w:t>
      </w:r>
      <w:bookmarkEnd w:id="114"/>
      <w:bookmarkEnd w:id="115"/>
    </w:p>
    <w:p w14:paraId="5872A30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6" w:name="_Toc15396627"/>
      <w:bookmarkStart w:id="117" w:name="_Toc19357"/>
      <w:r>
        <w:rPr>
          <w:rFonts w:hint="eastAsia" w:ascii="宋体" w:hAnsi="宋体" w:eastAsia="方正黑体简体" w:cs="方正黑体简体"/>
          <w:b w:val="0"/>
          <w:color w:val="auto"/>
          <w:highlight w:val="none"/>
          <w:lang w:val="en-US" w:eastAsia="zh-CN"/>
        </w:rPr>
        <w:t>九、一般公共预算财政拨款项目支出决算表</w:t>
      </w:r>
      <w:bookmarkEnd w:id="116"/>
      <w:bookmarkEnd w:id="117"/>
    </w:p>
    <w:p w14:paraId="6DA3988A">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18" w:name="_Toc15396628"/>
      <w:bookmarkStart w:id="119" w:name="_Toc7095"/>
      <w:r>
        <w:rPr>
          <w:rFonts w:hint="eastAsia" w:ascii="宋体" w:hAnsi="宋体" w:eastAsia="方正黑体简体" w:cs="方正黑体简体"/>
          <w:b w:val="0"/>
          <w:color w:val="auto"/>
          <w:highlight w:val="none"/>
          <w:lang w:val="en-US" w:eastAsia="zh-CN"/>
        </w:rPr>
        <w:t>十、</w:t>
      </w:r>
      <w:bookmarkEnd w:id="118"/>
      <w:r>
        <w:rPr>
          <w:rFonts w:hint="eastAsia" w:ascii="宋体" w:hAnsi="宋体" w:eastAsia="方正黑体简体" w:cs="方正黑体简体"/>
          <w:b w:val="0"/>
          <w:color w:val="auto"/>
          <w:highlight w:val="none"/>
          <w:lang w:val="en-US" w:eastAsia="zh-CN"/>
        </w:rPr>
        <w:t>政府性基金预算财政拨款收入支出决算表</w:t>
      </w:r>
      <w:bookmarkEnd w:id="119"/>
    </w:p>
    <w:p w14:paraId="33F19A4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20" w:name="_Toc15396629"/>
      <w:bookmarkStart w:id="121" w:name="_Toc14027"/>
      <w:r>
        <w:rPr>
          <w:rFonts w:hint="eastAsia" w:ascii="宋体" w:hAnsi="宋体" w:eastAsia="方正黑体简体" w:cs="方正黑体简体"/>
          <w:b w:val="0"/>
          <w:color w:val="auto"/>
          <w:highlight w:val="none"/>
          <w:lang w:val="en-US" w:eastAsia="zh-CN"/>
        </w:rPr>
        <w:t>十一、</w:t>
      </w:r>
      <w:bookmarkEnd w:id="120"/>
      <w:r>
        <w:rPr>
          <w:rFonts w:hint="eastAsia" w:ascii="宋体" w:hAnsi="宋体" w:eastAsia="方正黑体简体" w:cs="方正黑体简体"/>
          <w:b w:val="0"/>
          <w:color w:val="auto"/>
          <w:highlight w:val="none"/>
          <w:lang w:val="en-US" w:eastAsia="zh-CN"/>
        </w:rPr>
        <w:t>国有资本经营预算财政拨款收入支出决算表</w:t>
      </w:r>
      <w:bookmarkEnd w:id="121"/>
    </w:p>
    <w:p w14:paraId="1C020E94">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eastAsia="方正黑体简体" w:cs="方正黑体简体"/>
          <w:b w:val="0"/>
          <w:color w:val="auto"/>
          <w:highlight w:val="none"/>
          <w:lang w:val="en-US" w:eastAsia="zh-CN"/>
        </w:rPr>
      </w:pPr>
      <w:bookmarkStart w:id="122" w:name="_Toc15396630"/>
      <w:bookmarkStart w:id="123" w:name="_Toc21335"/>
      <w:r>
        <w:rPr>
          <w:rFonts w:hint="eastAsia" w:ascii="宋体" w:hAnsi="宋体" w:eastAsia="方正黑体简体" w:cs="方正黑体简体"/>
          <w:b w:val="0"/>
          <w:color w:val="auto"/>
          <w:highlight w:val="none"/>
          <w:lang w:val="en-US" w:eastAsia="zh-CN"/>
        </w:rPr>
        <w:t>十二、</w:t>
      </w:r>
      <w:bookmarkEnd w:id="122"/>
      <w:r>
        <w:rPr>
          <w:rFonts w:hint="eastAsia" w:ascii="宋体" w:hAnsi="宋体" w:eastAsia="方正黑体简体" w:cs="方正黑体简体"/>
          <w:b w:val="0"/>
          <w:color w:val="auto"/>
          <w:highlight w:val="none"/>
          <w:lang w:val="en-US" w:eastAsia="zh-CN"/>
        </w:rPr>
        <w:t>国有资本经营预算财政拨款支出决算表</w:t>
      </w:r>
      <w:bookmarkEnd w:id="123"/>
    </w:p>
    <w:p w14:paraId="61A96C8B">
      <w:pPr>
        <w:pStyle w:val="4"/>
        <w:keepNext/>
        <w:keepLines/>
        <w:pageBreakBefore w:val="0"/>
        <w:widowControl w:val="0"/>
        <w:kinsoku/>
        <w:wordWrap/>
        <w:overflowPunct/>
        <w:topLinePunct w:val="0"/>
        <w:autoSpaceDE/>
        <w:autoSpaceDN/>
        <w:bidi w:val="0"/>
        <w:adjustRightInd/>
        <w:snapToGrid/>
        <w:spacing w:before="0" w:after="0" w:line="580" w:lineRule="exact"/>
        <w:ind w:firstLine="640" w:firstLineChars="200"/>
        <w:textAlignment w:val="auto"/>
        <w:rPr>
          <w:rFonts w:hint="eastAsia" w:ascii="宋体" w:hAnsi="宋体"/>
          <w:highlight w:val="none"/>
          <w:lang w:eastAsia="zh-CN"/>
        </w:rPr>
      </w:pPr>
      <w:bookmarkStart w:id="124" w:name="_Toc15396631"/>
      <w:bookmarkStart w:id="125" w:name="_Toc17551"/>
      <w:r>
        <w:rPr>
          <w:rFonts w:hint="eastAsia" w:ascii="宋体" w:hAnsi="宋体" w:eastAsia="方正黑体简体" w:cs="方正黑体简体"/>
          <w:b w:val="0"/>
          <w:color w:val="auto"/>
          <w:highlight w:val="none"/>
          <w:lang w:val="en-US" w:eastAsia="zh-CN"/>
        </w:rPr>
        <w:t>十三、</w:t>
      </w:r>
      <w:bookmarkEnd w:id="124"/>
      <w:r>
        <w:rPr>
          <w:rFonts w:hint="eastAsia" w:ascii="宋体" w:hAnsi="宋体" w:eastAsia="方正黑体简体" w:cs="方正黑体简体"/>
          <w:b w:val="0"/>
          <w:color w:val="auto"/>
          <w:highlight w:val="none"/>
          <w:lang w:val="en-US" w:eastAsia="zh-CN"/>
        </w:rPr>
        <w:t>财政拨款“三公”经费支出决算表</w:t>
      </w:r>
      <w:bookmarkEnd w:id="125"/>
    </w:p>
    <w:sectPr>
      <w:footerReference r:id="rId6" w:type="first"/>
      <w:footerReference r:id="rId5" w:type="default"/>
      <w:pgSz w:w="11906" w:h="16838"/>
      <w:pgMar w:top="2154" w:right="1474" w:bottom="1814" w:left="1587" w:header="851" w:footer="1417"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6071D67-B7F7-48D5-ADC7-87C32CC5D7ED}"/>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3AF7857C-12FA-4CDF-A713-50D035CA68F8}"/>
  </w:font>
  <w:font w:name="仿宋">
    <w:panose1 w:val="02010609060101010101"/>
    <w:charset w:val="86"/>
    <w:family w:val="auto"/>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CE15FFB8-02CD-4A8F-A032-7DB678C49DD7}"/>
  </w:font>
  <w:font w:name="方正仿宋_GBK">
    <w:panose1 w:val="03000509000000000000"/>
    <w:charset w:val="86"/>
    <w:family w:val="auto"/>
    <w:pitch w:val="default"/>
    <w:sig w:usb0="00000001" w:usb1="080E0000" w:usb2="00000000" w:usb3="00000000" w:csb0="00040000" w:csb1="00000000"/>
    <w:embedRegular r:id="rId4" w:fontKey="{8F785713-4870-4C59-AA64-245C25E685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77EEA">
    <w:pPr>
      <w:pStyle w:val="10"/>
      <w:jc w:val="center"/>
    </w:pPr>
  </w:p>
  <w:p w14:paraId="3BB6A9A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D681">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9F1095">
                          <w:pPr>
                            <w:pStyle w:val="10"/>
                            <w:rPr>
                              <w:rFonts w:hint="eastAsia" w:ascii="宋体" w:hAnsi="宋体" w:eastAsia="宋体" w:cs="宋体"/>
                              <w:sz w:val="28"/>
                              <w:szCs w:val="28"/>
                            </w:rPr>
                          </w:pPr>
                        </w:p>
                        <w:p w14:paraId="08E4B217">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9F1095">
                    <w:pPr>
                      <w:pStyle w:val="10"/>
                      <w:rPr>
                        <w:rFonts w:hint="eastAsia" w:ascii="宋体" w:hAnsi="宋体" w:eastAsia="宋体" w:cs="宋体"/>
                        <w:sz w:val="28"/>
                        <w:szCs w:val="28"/>
                      </w:rPr>
                    </w:pPr>
                  </w:p>
                  <w:p w14:paraId="08E4B217">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7128BD7E">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AE80">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755F55">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0755F55">
                    <w:pPr>
                      <w:pStyle w:val="1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F5C96">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6E5342"/>
    <w:rsid w:val="02FEBE30"/>
    <w:rsid w:val="061E35DE"/>
    <w:rsid w:val="066E0107"/>
    <w:rsid w:val="07996F6E"/>
    <w:rsid w:val="07DFD8BA"/>
    <w:rsid w:val="09867E8F"/>
    <w:rsid w:val="0A2032A3"/>
    <w:rsid w:val="0B132EDB"/>
    <w:rsid w:val="0CA8290A"/>
    <w:rsid w:val="0D35B1ED"/>
    <w:rsid w:val="0F98263C"/>
    <w:rsid w:val="101860EC"/>
    <w:rsid w:val="10C055FF"/>
    <w:rsid w:val="11772AA4"/>
    <w:rsid w:val="118107EC"/>
    <w:rsid w:val="13D50BC4"/>
    <w:rsid w:val="165E0673"/>
    <w:rsid w:val="16BB723D"/>
    <w:rsid w:val="17375DB8"/>
    <w:rsid w:val="175F7AA5"/>
    <w:rsid w:val="182714E8"/>
    <w:rsid w:val="186504BB"/>
    <w:rsid w:val="19A445FC"/>
    <w:rsid w:val="1A9FE8C6"/>
    <w:rsid w:val="1BE8440E"/>
    <w:rsid w:val="1D155CEE"/>
    <w:rsid w:val="1E740ACF"/>
    <w:rsid w:val="1FF35744"/>
    <w:rsid w:val="1FF6BC77"/>
    <w:rsid w:val="23860B96"/>
    <w:rsid w:val="240371BF"/>
    <w:rsid w:val="260F557C"/>
    <w:rsid w:val="281408E2"/>
    <w:rsid w:val="29FD04D3"/>
    <w:rsid w:val="2BFF7BC6"/>
    <w:rsid w:val="2C8A61B5"/>
    <w:rsid w:val="2DF04E50"/>
    <w:rsid w:val="2F040D46"/>
    <w:rsid w:val="2FAE5751"/>
    <w:rsid w:val="2FB1A395"/>
    <w:rsid w:val="2FD9A7D8"/>
    <w:rsid w:val="2FDBF714"/>
    <w:rsid w:val="315B60ED"/>
    <w:rsid w:val="319F7F4E"/>
    <w:rsid w:val="32657D42"/>
    <w:rsid w:val="32BD1EF1"/>
    <w:rsid w:val="3304709D"/>
    <w:rsid w:val="33E25739"/>
    <w:rsid w:val="33EFB7FF"/>
    <w:rsid w:val="349D6851"/>
    <w:rsid w:val="36AA5135"/>
    <w:rsid w:val="36BE0DA7"/>
    <w:rsid w:val="376B6AA6"/>
    <w:rsid w:val="376D39B2"/>
    <w:rsid w:val="37E16F03"/>
    <w:rsid w:val="37F53A3B"/>
    <w:rsid w:val="389B6C89"/>
    <w:rsid w:val="38D469F0"/>
    <w:rsid w:val="39627CCD"/>
    <w:rsid w:val="397BAF1F"/>
    <w:rsid w:val="3AB79AF3"/>
    <w:rsid w:val="3B7EF35A"/>
    <w:rsid w:val="3B9FDB6C"/>
    <w:rsid w:val="3BF5BC2F"/>
    <w:rsid w:val="3CEBA265"/>
    <w:rsid w:val="3D98207C"/>
    <w:rsid w:val="3DEE7CF3"/>
    <w:rsid w:val="3DFC0780"/>
    <w:rsid w:val="3E78745D"/>
    <w:rsid w:val="3EB67BCD"/>
    <w:rsid w:val="3F55381A"/>
    <w:rsid w:val="3F7F7599"/>
    <w:rsid w:val="3FF4CAE0"/>
    <w:rsid w:val="3FF7B227"/>
    <w:rsid w:val="43812F48"/>
    <w:rsid w:val="44E268DA"/>
    <w:rsid w:val="486A6C7A"/>
    <w:rsid w:val="4A627F82"/>
    <w:rsid w:val="4B0E749A"/>
    <w:rsid w:val="4B4F25DA"/>
    <w:rsid w:val="4BE068DB"/>
    <w:rsid w:val="4C374B3F"/>
    <w:rsid w:val="4D577224"/>
    <w:rsid w:val="4DBF1CEB"/>
    <w:rsid w:val="4EAB630A"/>
    <w:rsid w:val="4ECE2238"/>
    <w:rsid w:val="4F833267"/>
    <w:rsid w:val="4FE9BD67"/>
    <w:rsid w:val="4FFB052F"/>
    <w:rsid w:val="52C24E7A"/>
    <w:rsid w:val="537E6D0A"/>
    <w:rsid w:val="53F74C96"/>
    <w:rsid w:val="56E47B74"/>
    <w:rsid w:val="57BD3DD4"/>
    <w:rsid w:val="5AF92295"/>
    <w:rsid w:val="5BDD79E6"/>
    <w:rsid w:val="5BF561CA"/>
    <w:rsid w:val="5BFF5DFC"/>
    <w:rsid w:val="5CD71FC4"/>
    <w:rsid w:val="5D1F11B5"/>
    <w:rsid w:val="5DAE1B18"/>
    <w:rsid w:val="5DE7D9E5"/>
    <w:rsid w:val="5ECEC941"/>
    <w:rsid w:val="5FBF9FF3"/>
    <w:rsid w:val="5FCD4E2C"/>
    <w:rsid w:val="5FEF394A"/>
    <w:rsid w:val="5FF67715"/>
    <w:rsid w:val="62BF3928"/>
    <w:rsid w:val="647F5392"/>
    <w:rsid w:val="664B1D71"/>
    <w:rsid w:val="67AA3209"/>
    <w:rsid w:val="698D0931"/>
    <w:rsid w:val="6A7FE5F3"/>
    <w:rsid w:val="6B053271"/>
    <w:rsid w:val="6C4A05C8"/>
    <w:rsid w:val="6C8742B8"/>
    <w:rsid w:val="6DBF5E93"/>
    <w:rsid w:val="6DFF077E"/>
    <w:rsid w:val="6E7E3605"/>
    <w:rsid w:val="6E7FDCC7"/>
    <w:rsid w:val="6ED6A62E"/>
    <w:rsid w:val="6EE00B15"/>
    <w:rsid w:val="6F6FB3EB"/>
    <w:rsid w:val="6F8731EA"/>
    <w:rsid w:val="6FCE6052"/>
    <w:rsid w:val="6FD57C00"/>
    <w:rsid w:val="6FEFFFD8"/>
    <w:rsid w:val="6FF5CC65"/>
    <w:rsid w:val="6FFB47EC"/>
    <w:rsid w:val="6FFF034A"/>
    <w:rsid w:val="712A28F1"/>
    <w:rsid w:val="715C0E4B"/>
    <w:rsid w:val="72233669"/>
    <w:rsid w:val="72734D90"/>
    <w:rsid w:val="7332FE48"/>
    <w:rsid w:val="73AB61DA"/>
    <w:rsid w:val="73AD73D5"/>
    <w:rsid w:val="73B6EB34"/>
    <w:rsid w:val="73FA497D"/>
    <w:rsid w:val="744731E5"/>
    <w:rsid w:val="74BBD01D"/>
    <w:rsid w:val="74ED5379"/>
    <w:rsid w:val="75DEEEC2"/>
    <w:rsid w:val="76E3355F"/>
    <w:rsid w:val="76FF5125"/>
    <w:rsid w:val="776F6FFA"/>
    <w:rsid w:val="778769C8"/>
    <w:rsid w:val="77DC22F5"/>
    <w:rsid w:val="79086DAD"/>
    <w:rsid w:val="79B44B24"/>
    <w:rsid w:val="79D7FD79"/>
    <w:rsid w:val="79EE5BA4"/>
    <w:rsid w:val="7A894339"/>
    <w:rsid w:val="7AD284E8"/>
    <w:rsid w:val="7AFF7572"/>
    <w:rsid w:val="7B6C7DFB"/>
    <w:rsid w:val="7BBFBED0"/>
    <w:rsid w:val="7BC3E394"/>
    <w:rsid w:val="7C1F3737"/>
    <w:rsid w:val="7CBFC87B"/>
    <w:rsid w:val="7CFE0F48"/>
    <w:rsid w:val="7D7EC23E"/>
    <w:rsid w:val="7E8ADEBF"/>
    <w:rsid w:val="7EEF11D3"/>
    <w:rsid w:val="7EFE4840"/>
    <w:rsid w:val="7F0971A6"/>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7DAB09"/>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toa heading"/>
    <w:basedOn w:val="1"/>
    <w:next w:val="1"/>
    <w:unhideWhenUsed/>
    <w:qFormat/>
    <w:uiPriority w:val="99"/>
    <w:pPr>
      <w:spacing w:before="120"/>
    </w:pPr>
    <w:rPr>
      <w:rFonts w:hint="default" w:ascii="Cambria" w:hAnsi="Cambria" w:eastAsia="宋体" w:cs="Cambria"/>
      <w:sz w:val="24"/>
      <w:szCs w:val="24"/>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14"/>
    <w:semiHidden/>
    <w:qFormat/>
    <w:uiPriority w:val="0"/>
    <w:pPr>
      <w:snapToGrid w:val="0"/>
      <w:jc w:val="left"/>
    </w:pPr>
    <w:rPr>
      <w:sz w:val="18"/>
      <w:szCs w:val="18"/>
    </w:rPr>
  </w:style>
  <w:style w:type="paragraph" w:styleId="14">
    <w:name w:val="Body Text First Indent 2"/>
    <w:basedOn w:val="7"/>
    <w:unhideWhenUsed/>
    <w:qFormat/>
    <w:uiPriority w:val="99"/>
    <w:pPr>
      <w:ind w:firstLine="420" w:firstLineChars="200"/>
    </w:p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00293987946494194"/>
                  <c:y val="0.032564450474898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3095.17</c:v>
                </c:pt>
                <c:pt idx="1">
                  <c:v>3376.56</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7653769-b132-4e4e-b1c1-553a98198f7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149739820667353"/>
          <c:y val="0.248081411126187"/>
          <c:w val="0.349645744524474"/>
          <c:h val="0.645492537313433"/>
        </c:manualLayout>
      </c:layout>
      <c:pieChart>
        <c:varyColors val="1"/>
        <c:ser>
          <c:idx val="0"/>
          <c:order val="0"/>
          <c:tx>
            <c:strRef>
              <c:f>Sheet1!$B$1</c:f>
              <c:strCache>
                <c:ptCount val="1"/>
                <c:pt idx="0">
                  <c:v>占比</c:v>
                </c:pt>
              </c:strCache>
            </c:strRef>
          </c:tx>
          <c:spPr/>
          <c:explosion val="0"/>
          <c:dPt>
            <c:idx val="0"/>
            <c:bubble3D val="0"/>
            <c:spPr>
              <a:solidFill>
                <a:schemeClr val="accent2"/>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0721188518678783"/>
                  <c:y val="0.03052359708851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0096639261503"/>
                  <c:y val="-0.05400328715660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政府性基金预算财政拨款收入</c:v>
                </c:pt>
                <c:pt idx="1">
                  <c:v>一般公共预算财政拨款收入</c:v>
                </c:pt>
                <c:pt idx="2">
                  <c:v>其他收入</c:v>
                </c:pt>
              </c:strCache>
            </c:strRef>
          </c:cat>
          <c:val>
            <c:numRef>
              <c:f>Sheet1!$B$2:$B$4</c:f>
              <c:numCache>
                <c:formatCode>0.00%</c:formatCode>
                <c:ptCount val="3"/>
                <c:pt idx="0">
                  <c:v>0.0735</c:v>
                </c:pt>
                <c:pt idx="1">
                  <c:v>0.9237</c:v>
                </c:pt>
                <c:pt idx="2">
                  <c:v>0.0028</c:v>
                </c:pt>
              </c:numCache>
            </c:numRef>
          </c:val>
        </c:ser>
        <c:dLbls>
          <c:showLegendKey val="0"/>
          <c:showVal val="1"/>
          <c:showCatName val="0"/>
          <c:showSerName val="0"/>
          <c:showPercent val="0"/>
          <c:showBubbleSize val="0"/>
          <c:showLeaderLines val="1"/>
        </c:dLbls>
        <c:firstSliceAng val="83"/>
      </c:pieChart>
      <c:spPr>
        <a:noFill/>
        <a:ln>
          <a:noFill/>
        </a:ln>
        <a:effectLst/>
      </c:spPr>
    </c:plotArea>
    <c:legend>
      <c:legendPos val="r"/>
      <c:layout>
        <c:manualLayout>
          <c:xMode val="edge"/>
          <c:yMode val="edge"/>
          <c:x val="0.629512893982808"/>
          <c:y val="0.345538378085164"/>
          <c:w val="0.353295128939828"/>
          <c:h val="0.41524274477895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ea2c5e6-a64c-417b-801e-4fdc2f4948c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0.8496</c:v>
                </c:pt>
                <c:pt idx="1">
                  <c:v>0.1504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7361504-3ff1-419e-9613-9ec4680c15c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dLbl>
              <c:idx val="0"/>
              <c:layout>
                <c:manualLayout>
                  <c:x val="0"/>
                  <c:y val="0.025195263290501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3073.48</c:v>
                </c:pt>
                <c:pt idx="1">
                  <c:v>3347.52</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85b00d9-4a2c-41ea-bebb-c9437c3702b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spc="-100">
                <a:solidFill>
                  <a:schemeClr val="tx1">
                    <a:lumMod val="65000"/>
                    <a:lumOff val="35000"/>
                  </a:schemeClr>
                </a:solidFill>
                <a:uFillTx/>
              </a:rPr>
              <a:t>一般公共预算财政拨款支出决算变动情况图</a:t>
            </a:r>
            <a:endParaRPr sz="1400" spc="-100">
              <a:solidFill>
                <a:schemeClr val="tx1">
                  <a:lumMod val="65000"/>
                  <a:lumOff val="35000"/>
                </a:schemeClr>
              </a:solidFill>
              <a:uFillTx/>
            </a:endParaRPr>
          </a:p>
        </c:rich>
      </c:tx>
      <c:layout>
        <c:manualLayout>
          <c:xMode val="edge"/>
          <c:yMode val="edge"/>
          <c:x val="0.119873585183008"/>
          <c:y val="0.0302343159486017"/>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金额（单位：万元）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3045.31</c:v>
                </c:pt>
                <c:pt idx="1">
                  <c:v>3100.75</c:v>
                </c:pt>
              </c:numCache>
            </c:numRef>
          </c:val>
        </c:ser>
        <c:dLbls>
          <c:showLegendKey val="0"/>
          <c:showVal val="1"/>
          <c:showCatName val="0"/>
          <c:showSerName val="0"/>
          <c:showPercent val="0"/>
          <c:showBubbleSize val="0"/>
        </c:dLbls>
        <c:gapWidth val="150"/>
        <c:overlap val="0"/>
        <c:axId val="32220409"/>
        <c:axId val="980139906"/>
      </c:barChart>
      <c:catAx>
        <c:axId val="322204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139906"/>
        <c:crosses val="autoZero"/>
        <c:auto val="1"/>
        <c:lblAlgn val="ctr"/>
        <c:lblOffset val="100"/>
        <c:noMultiLvlLbl val="0"/>
      </c:catAx>
      <c:valAx>
        <c:axId val="9801399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20409"/>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fd994cd-7fcd-48fb-bc38-325e154d0e1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一般公共预算财政拨款支出决算结构图</a:t>
            </a:r>
          </a:p>
        </c:rich>
      </c:tx>
      <c:layout>
        <c:manualLayout>
          <c:xMode val="edge"/>
          <c:yMode val="edge"/>
          <c:x val="0.158167803142603"/>
          <c:y val="0.0302343159486017"/>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2"/>
              <c:layout>
                <c:manualLayout>
                  <c:x val="-0.0132294575922387"/>
                  <c:y val="0.010854816824966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529178303689549"/>
                  <c:y val="-0.008141112618724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住房保障支出</c:v>
                </c:pt>
                <c:pt idx="3">
                  <c:v>卫生健康支出</c:v>
                </c:pt>
                <c:pt idx="4">
                  <c:v>农林水支出</c:v>
                </c:pt>
              </c:strCache>
            </c:strRef>
          </c:cat>
          <c:val>
            <c:numRef>
              <c:f>Sheet1!$B$2:$B$6</c:f>
              <c:numCache>
                <c:formatCode>0.00%</c:formatCode>
                <c:ptCount val="5"/>
                <c:pt idx="0">
                  <c:v>0.7977</c:v>
                </c:pt>
                <c:pt idx="1">
                  <c:v>0.0888</c:v>
                </c:pt>
                <c:pt idx="2">
                  <c:v>0.0695</c:v>
                </c:pt>
                <c:pt idx="3">
                  <c:v>0.0412</c:v>
                </c:pt>
                <c:pt idx="4">
                  <c:v>0.0028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65147728943113"/>
          <c:y val="0.34952510176390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4e72b0a-043b-4e99-83d0-f75d3d2549b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经费财政拨款支出结构图</a:t>
            </a:r>
            <a:endParaRPr lang="en-US" altLang="zh-CN"/>
          </a:p>
        </c:rich>
      </c:tx>
      <c:layout>
        <c:manualLayout>
          <c:xMode val="edge"/>
          <c:yMode val="edge"/>
          <c:x val="0.202631192121123"/>
          <c:y val="0.073270013568521"/>
        </c:manualLayout>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3"/>
              </a:solidFill>
              <a:ln w="19050">
                <a:solidFill>
                  <a:schemeClr val="lt1"/>
                </a:solidFill>
              </a:ln>
              <a:effectLst/>
            </c:spPr>
          </c:dPt>
          <c:dPt>
            <c:idx val="1"/>
            <c:bubble3D val="0"/>
            <c:spPr>
              <a:solidFill>
                <a:schemeClr val="accent1"/>
              </a:solidFill>
              <a:ln w="19050">
                <a:solidFill>
                  <a:schemeClr val="lt1"/>
                </a:solidFill>
              </a:ln>
              <a:effectLst/>
            </c:spPr>
          </c:dPt>
          <c:dLbls>
            <c:dLbl>
              <c:idx val="0"/>
              <c:layout>
                <c:manualLayout>
                  <c:x val="0.138174334852271"/>
                  <c:y val="-0.08955223880597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90871674261356"/>
                  <c:y val="0.03044533661096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Sheet1!$B$2:$B$3</c:f>
              <c:numCache>
                <c:formatCode>0.00%</c:formatCode>
                <c:ptCount val="2"/>
                <c:pt idx="0">
                  <c:v>0.9726</c:v>
                </c:pt>
                <c:pt idx="1">
                  <c:v>0.0274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4912538585918"/>
          <c:y val="0.345997286295794"/>
          <c:w val="0.345435837130678"/>
          <c:h val="0.41546811397557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e659f1d-dee1-4442-b319-27a7097226d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4">
  <a:schemeClr val="accent1"/>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6048</Words>
  <Characters>6765</Characters>
  <Lines>61</Lines>
  <Paragraphs>17</Paragraphs>
  <TotalTime>38</TotalTime>
  <ScaleCrop>false</ScaleCrop>
  <LinksUpToDate>false</LinksUpToDate>
  <CharactersWithSpaces>6821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haha</cp:lastModifiedBy>
  <cp:lastPrinted>2025-08-07T17:34:00Z</cp:lastPrinted>
  <dcterms:modified xsi:type="dcterms:W3CDTF">2025-10-16T08:12:10Z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84BFFB56377443DEB90AF11426FB5007_13</vt:lpwstr>
  </property>
  <property fmtid="{D5CDD505-2E9C-101B-9397-08002B2CF9AE}" pid="4" name="KSOTemplateDocerSaveRecord">
    <vt:lpwstr>eyJoZGlkIjoiN2I3NGY1MmQ5OWY5YzNmODA3YzNhM2E3OGYxMzYyZjgiLCJ1c2VySWQiOiIxNTY3MDgwNjcyIn0=</vt:lpwstr>
  </property>
</Properties>
</file>